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after="0" w:line="240" w:lineRule="auto"/>
        <w:rPr>
          <w:rFonts w:eastAsia="Arial Bold" w:cs="Arial"/>
          <w:bCs/>
          <w:sz w:val="24"/>
          <w:lang w:eastAsia="zh-CN"/>
        </w:rPr>
      </w:pPr>
      <w:r>
        <w:rPr>
          <w:rFonts w:eastAsia="Arial Bold" w:cs="Arial"/>
          <w:bCs/>
          <w:sz w:val="24"/>
          <w:lang w:val="en-GB" w:eastAsia="zh-CN"/>
        </w:rPr>
        <w:t>3GPP TSG-RAN WG2 Meeting #10</w:t>
      </w:r>
      <w:r>
        <w:rPr>
          <w:rFonts w:hint="eastAsia" w:eastAsia="Arial Bold" w:cs="Arial"/>
          <w:bCs/>
          <w:sz w:val="24"/>
          <w:lang w:eastAsia="zh-CN"/>
        </w:rPr>
        <w:t>7bis</w:t>
      </w:r>
      <w:r>
        <w:rPr>
          <w:rFonts w:eastAsia="Arial Bold" w:cs="Arial"/>
          <w:bCs/>
          <w:sz w:val="24"/>
          <w:lang w:val="en-GB" w:eastAsia="zh-CN"/>
        </w:rPr>
        <w:t xml:space="preserve">                 </w:t>
      </w:r>
      <w:r>
        <w:rPr>
          <w:rFonts w:hint="eastAsia" w:eastAsia="Arial Bold" w:cs="Arial"/>
          <w:bCs/>
          <w:sz w:val="24"/>
          <w:lang w:eastAsia="zh-CN"/>
        </w:rPr>
        <w:t xml:space="preserve">          </w:t>
      </w:r>
      <w:r>
        <w:rPr>
          <w:rFonts w:eastAsia="Arial Bold" w:cs="Arial"/>
          <w:bCs/>
          <w:sz w:val="24"/>
          <w:lang w:eastAsia="zh-CN"/>
        </w:rPr>
        <w:t xml:space="preserve"> R2-1912316</w:t>
      </w:r>
    </w:p>
    <w:p>
      <w:pPr>
        <w:pStyle w:val="21"/>
        <w:jc w:val="both"/>
        <w:rPr>
          <w:rFonts w:eastAsia="Arial Bold" w:cs="Arial"/>
          <w:bCs/>
          <w:sz w:val="24"/>
          <w:lang w:eastAsia="zh-CN"/>
        </w:rPr>
      </w:pPr>
      <w:r>
        <w:rPr>
          <w:rFonts w:eastAsia="Arial Bold" w:cs="Arial"/>
          <w:bCs/>
          <w:sz w:val="24"/>
          <w:lang w:val="en-GB" w:eastAsia="zh-CN"/>
        </w:rPr>
        <w:t>ChongQing, China, 14</w:t>
      </w:r>
      <w:r>
        <w:rPr>
          <w:rFonts w:eastAsia="Arial Bold" w:cs="Arial"/>
          <w:bCs/>
          <w:sz w:val="24"/>
          <w:vertAlign w:val="superscript"/>
          <w:lang w:val="en-GB" w:eastAsia="zh-CN"/>
        </w:rPr>
        <w:t>th</w:t>
      </w:r>
      <w:r>
        <w:rPr>
          <w:rFonts w:eastAsia="Arial Bold" w:cs="Arial"/>
          <w:bCs/>
          <w:sz w:val="24"/>
          <w:lang w:val="en-GB" w:eastAsia="zh-CN"/>
        </w:rPr>
        <w:t xml:space="preserve"> - 18</w:t>
      </w:r>
      <w:r>
        <w:rPr>
          <w:rFonts w:eastAsia="Arial Bold" w:cs="Arial"/>
          <w:bCs/>
          <w:sz w:val="24"/>
          <w:vertAlign w:val="superscript"/>
          <w:lang w:val="en-GB" w:eastAsia="zh-CN"/>
        </w:rPr>
        <w:t>th</w:t>
      </w:r>
      <w:r>
        <w:rPr>
          <w:rFonts w:eastAsia="Arial Bold" w:cs="Arial"/>
          <w:bCs/>
          <w:sz w:val="24"/>
          <w:lang w:val="en-GB" w:eastAsia="zh-CN"/>
        </w:rPr>
        <w:t xml:space="preserve"> Oct. 2019 </w:t>
      </w:r>
      <w:r>
        <w:rPr>
          <w:rFonts w:hint="eastAsia" w:eastAsia="Arial Bold" w:cs="Arial"/>
          <w:bCs/>
          <w:sz w:val="24"/>
          <w:lang w:eastAsia="zh-CN"/>
        </w:rPr>
        <w:t xml:space="preserve">       </w:t>
      </w:r>
      <w:r>
        <w:rPr>
          <w:rFonts w:hint="eastAsia" w:eastAsia="Arial Bold" w:cs="Arial"/>
          <w:bCs/>
          <w:sz w:val="24"/>
          <w:lang w:val="en-US" w:eastAsia="zh-CN"/>
        </w:rPr>
        <w:t xml:space="preserve"> </w:t>
      </w:r>
      <w:bookmarkStart w:id="13" w:name="_GoBack"/>
      <w:bookmarkEnd w:id="13"/>
      <w:r>
        <w:rPr>
          <w:rFonts w:hint="eastAsia" w:eastAsia="Arial Bold" w:cs="Arial"/>
          <w:bCs/>
          <w:sz w:val="24"/>
          <w:lang w:eastAsia="zh-CN"/>
        </w:rPr>
        <w:t>(Resubmission of R2-1910006)</w:t>
      </w:r>
    </w:p>
    <w:p>
      <w:pPr>
        <w:pStyle w:val="21"/>
        <w:spacing w:after="0" w:line="240" w:lineRule="auto"/>
        <w:rPr>
          <w:rFonts w:eastAsia="宋体" w:cs="Arial"/>
          <w:bCs/>
          <w:sz w:val="24"/>
          <w:lang w:val="en-GB" w:eastAsia="zh-CN"/>
        </w:rPr>
      </w:pPr>
      <w:r>
        <w:rPr>
          <w:rFonts w:hint="eastAsia" w:eastAsia="Arial Bold" w:cs="Arial"/>
          <w:bCs/>
          <w:sz w:val="24"/>
          <w:lang w:eastAsia="zh-CN"/>
        </w:rPr>
        <w:t xml:space="preserve">             </w:t>
      </w:r>
    </w:p>
    <w:p>
      <w:pPr>
        <w:pStyle w:val="21"/>
        <w:tabs>
          <w:tab w:val="left" w:pos="1800"/>
          <w:tab w:val="clear" w:pos="4536"/>
        </w:tabs>
        <w:spacing w:after="0" w:line="240" w:lineRule="auto"/>
        <w:ind w:left="1800" w:hanging="1800"/>
        <w:rPr>
          <w:rFonts w:cs="Arial"/>
          <w:sz w:val="24"/>
          <w:lang w:eastAsia="zh-CN"/>
        </w:rPr>
      </w:pPr>
      <w:r>
        <w:rPr>
          <w:rFonts w:cs="Arial"/>
          <w:sz w:val="24"/>
        </w:rPr>
        <w:t>Source:</w:t>
      </w:r>
      <w:r>
        <w:rPr>
          <w:rFonts w:hint="eastAsia" w:eastAsia="宋体" w:cs="Arial"/>
          <w:sz w:val="24"/>
          <w:lang w:eastAsia="zh-CN"/>
        </w:rPr>
        <w:t xml:space="preserve">        </w:t>
      </w:r>
      <w:r>
        <w:rPr>
          <w:rFonts w:cs="Arial"/>
          <w:sz w:val="24"/>
          <w:lang w:eastAsia="zh-CN"/>
        </w:rPr>
        <w:t>vivo</w:t>
      </w:r>
    </w:p>
    <w:p>
      <w:pPr>
        <w:pStyle w:val="21"/>
        <w:tabs>
          <w:tab w:val="left" w:pos="1800"/>
          <w:tab w:val="clear" w:pos="4536"/>
        </w:tabs>
        <w:spacing w:after="0" w:line="240" w:lineRule="auto"/>
        <w:ind w:left="1800" w:hanging="1800"/>
        <w:rPr>
          <w:rFonts w:cs="Arial"/>
          <w:sz w:val="24"/>
          <w:lang w:eastAsia="zh-CN"/>
        </w:rPr>
      </w:pPr>
      <w:r>
        <w:rPr>
          <w:rFonts w:cs="Arial"/>
          <w:sz w:val="24"/>
        </w:rPr>
        <w:t>Title</w:t>
      </w:r>
      <w:bookmarkStart w:id="0" w:name="Title"/>
      <w:bookmarkEnd w:id="0"/>
      <w:r>
        <w:rPr>
          <w:rFonts w:hint="eastAsia" w:eastAsia="宋体" w:cs="Arial"/>
          <w:sz w:val="24"/>
          <w:lang w:eastAsia="zh-CN"/>
        </w:rPr>
        <w:t xml:space="preserve">:           </w:t>
      </w:r>
      <w:r>
        <w:rPr>
          <w:rFonts w:hint="eastAsia" w:cs="Arial"/>
          <w:sz w:val="24"/>
          <w:lang w:eastAsia="zh-CN"/>
        </w:rPr>
        <w:t xml:space="preserve">Discussion on the periodicity misalignment between TSC traffic and SPS/CG </w:t>
      </w:r>
    </w:p>
    <w:p>
      <w:pPr>
        <w:pStyle w:val="21"/>
        <w:tabs>
          <w:tab w:val="left" w:pos="1800"/>
          <w:tab w:val="clear" w:pos="4536"/>
        </w:tabs>
        <w:spacing w:after="0" w:line="240" w:lineRule="auto"/>
        <w:ind w:left="1800" w:hanging="1800"/>
        <w:rPr>
          <w:rFonts w:cs="Arial"/>
          <w:sz w:val="24"/>
          <w:lang w:eastAsia="zh-CN"/>
        </w:rPr>
      </w:pPr>
      <w:r>
        <w:rPr>
          <w:rFonts w:cs="Arial"/>
          <w:sz w:val="24"/>
        </w:rPr>
        <w:t>Agenda Item:</w:t>
      </w:r>
      <w:bookmarkStart w:id="1" w:name="Source"/>
      <w:bookmarkEnd w:id="1"/>
      <w:r>
        <w:rPr>
          <w:rFonts w:hint="eastAsia" w:cs="Arial"/>
          <w:sz w:val="24"/>
          <w:lang w:eastAsia="zh-CN"/>
        </w:rPr>
        <w:t xml:space="preserve">   </w:t>
      </w:r>
      <w:r>
        <w:rPr>
          <w:rFonts w:hint="eastAsia" w:cs="Arial"/>
          <w:sz w:val="24"/>
        </w:rPr>
        <w:t>6.7.2.2.1</w:t>
      </w:r>
    </w:p>
    <w:p>
      <w:pPr>
        <w:pStyle w:val="21"/>
        <w:tabs>
          <w:tab w:val="left" w:pos="1800"/>
          <w:tab w:val="clear" w:pos="4536"/>
        </w:tabs>
        <w:spacing w:after="0" w:line="240" w:lineRule="auto"/>
        <w:ind w:left="1800" w:hanging="1800"/>
        <w:rPr>
          <w:rFonts w:cs="Arial"/>
          <w:sz w:val="24"/>
          <w:lang w:eastAsia="zh-CN"/>
        </w:rPr>
      </w:pPr>
      <w:r>
        <w:rPr>
          <w:rFonts w:cs="Arial"/>
          <w:sz w:val="24"/>
        </w:rPr>
        <w:t>Document for:</w:t>
      </w:r>
      <w:bookmarkStart w:id="2" w:name="DocumentFor"/>
      <w:bookmarkEnd w:id="2"/>
      <w:r>
        <w:rPr>
          <w:rFonts w:hint="eastAsia" w:cs="Arial"/>
          <w:sz w:val="24"/>
          <w:lang w:eastAsia="zh-CN"/>
        </w:rPr>
        <w:t xml:space="preserve">  </w:t>
      </w:r>
      <w:r>
        <w:rPr>
          <w:rFonts w:cs="Arial"/>
          <w:sz w:val="24"/>
        </w:rPr>
        <w:t>Discussion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hint="eastAsia" w:cs="Times New Roman"/>
          <w:b w:val="0"/>
          <w:bCs w:val="0"/>
          <w:kern w:val="0"/>
          <w:sz w:val="36"/>
          <w:szCs w:val="20"/>
          <w:lang w:val="en-GB" w:eastAsia="en-GB"/>
        </w:rPr>
        <w:t>Introduction</w:t>
      </w:r>
    </w:p>
    <w:p>
      <w:pPr>
        <w:jc w:val="both"/>
        <w:rPr>
          <w:color w:val="000000"/>
          <w:sz w:val="22"/>
          <w:szCs w:val="32"/>
          <w:lang w:eastAsia="zh-CN"/>
        </w:rPr>
      </w:pPr>
      <w:r>
        <w:rPr>
          <w:color w:val="000000"/>
          <w:sz w:val="22"/>
          <w:szCs w:val="32"/>
          <w:lang w:eastAsia="zh-CN"/>
        </w:rPr>
        <w:t>In the RAN2 #105bis meeting, the following agreements related to</w:t>
      </w:r>
      <w:r>
        <w:rPr>
          <w:rFonts w:hint="eastAsia"/>
          <w:color w:val="000000"/>
          <w:sz w:val="22"/>
          <w:szCs w:val="32"/>
          <w:lang w:eastAsia="zh-CN"/>
        </w:rPr>
        <w:t xml:space="preserve"> the support of TSC traffic pattern</w:t>
      </w:r>
      <w:r>
        <w:rPr>
          <w:color w:val="000000"/>
          <w:sz w:val="22"/>
          <w:szCs w:val="32"/>
          <w:lang w:eastAsia="zh-CN"/>
        </w:rPr>
        <w:t xml:space="preserve"> have been achieved: </w:t>
      </w:r>
    </w:p>
    <w:p>
      <w:pPr>
        <w:pStyle w:val="74"/>
      </w:pPr>
      <w:r>
        <w:t>R2 assumes that the maximum number of active SPS configurations for a given BWP of a serving cell in the specification is 8 or 16 (FFS).</w:t>
      </w:r>
    </w:p>
    <w:p>
      <w:pPr>
        <w:pStyle w:val="74"/>
        <w:jc w:val="both"/>
        <w:rPr>
          <w:rFonts w:ascii="Calibri" w:hAnsi="Calibri" w:eastAsia="宋体" w:cs="宋体"/>
          <w:sz w:val="21"/>
          <w:szCs w:val="21"/>
          <w:lang w:eastAsia="zh-CN" w:bidi="ar"/>
        </w:rPr>
      </w:pPr>
      <w:r>
        <w:rPr>
          <w:sz w:val="21"/>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pPr>
        <w:jc w:val="both"/>
        <w:rPr>
          <w:color w:val="000000"/>
          <w:sz w:val="22"/>
          <w:szCs w:val="22"/>
          <w:lang w:eastAsia="zh-CN"/>
        </w:rPr>
      </w:pPr>
      <w:r>
        <w:rPr>
          <w:rFonts w:hint="eastAsia"/>
          <w:color w:val="000000"/>
          <w:sz w:val="22"/>
          <w:szCs w:val="22"/>
          <w:lang w:eastAsia="zh-CN"/>
        </w:rPr>
        <w:t>A LS R2-190</w:t>
      </w:r>
      <w:r>
        <w:rPr>
          <w:rFonts w:hint="eastAsia"/>
          <w:color w:val="000000"/>
          <w:sz w:val="22"/>
          <w:szCs w:val="22"/>
          <w:lang w:eastAsia="ja-JP"/>
        </w:rPr>
        <w:t>5473</w:t>
      </w:r>
      <w:r>
        <w:rPr>
          <w:rFonts w:hint="eastAsia"/>
          <w:color w:val="000000"/>
          <w:sz w:val="22"/>
          <w:szCs w:val="22"/>
          <w:lang w:eastAsia="zh-CN"/>
        </w:rPr>
        <w:t xml:space="preserve"> is sent to inform RAN1 of the above agreements. In addition, RAN2 kindly ask RAN1 the feasibility to support SPS periodicity of at least 0.5ms and shorter than 0.5ms (e.g. down to 2 symbols). </w:t>
      </w:r>
      <w:r>
        <w:rPr>
          <w:color w:val="000000"/>
          <w:sz w:val="22"/>
          <w:szCs w:val="22"/>
          <w:lang w:eastAsia="zh-CN"/>
        </w:rPr>
        <w:t>In the RAN</w:t>
      </w:r>
      <w:r>
        <w:rPr>
          <w:rFonts w:hint="eastAsia"/>
          <w:color w:val="000000"/>
          <w:sz w:val="22"/>
          <w:szCs w:val="22"/>
          <w:lang w:eastAsia="zh-CN"/>
        </w:rPr>
        <w:t>1</w:t>
      </w:r>
      <w:r>
        <w:rPr>
          <w:color w:val="000000"/>
          <w:sz w:val="22"/>
          <w:szCs w:val="22"/>
          <w:lang w:eastAsia="zh-CN"/>
        </w:rPr>
        <w:t xml:space="preserve"> #</w:t>
      </w:r>
      <w:r>
        <w:rPr>
          <w:rFonts w:hint="eastAsia"/>
          <w:color w:val="000000"/>
          <w:sz w:val="22"/>
          <w:szCs w:val="22"/>
          <w:lang w:eastAsia="zh-CN"/>
        </w:rPr>
        <w:t>97</w:t>
      </w:r>
      <w:r>
        <w:rPr>
          <w:color w:val="000000"/>
          <w:sz w:val="22"/>
          <w:szCs w:val="22"/>
          <w:lang w:eastAsia="zh-CN"/>
        </w:rPr>
        <w:t xml:space="preserve"> meeting, </w:t>
      </w:r>
      <w:r>
        <w:rPr>
          <w:rFonts w:hint="eastAsia"/>
          <w:color w:val="000000"/>
          <w:sz w:val="22"/>
          <w:szCs w:val="22"/>
          <w:lang w:eastAsia="zh-CN"/>
        </w:rPr>
        <w:t>RAN1 discussed this LS and achieved the following agreements</w:t>
      </w:r>
      <w:r>
        <w:rPr>
          <w:color w:val="000000"/>
          <w:sz w:val="22"/>
          <w:szCs w:val="22"/>
          <w:lang w:eastAsia="zh-CN"/>
        </w:rPr>
        <w:t>:</w:t>
      </w:r>
    </w:p>
    <w:tbl>
      <w:tblPr>
        <w:tblStyle w:val="24"/>
        <w:tblW w:w="911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7" w:hRule="atLeast"/>
        </w:trPr>
        <w:tc>
          <w:tcPr>
            <w:tcW w:w="9113" w:type="dxa"/>
          </w:tcPr>
          <w:p>
            <w:pPr>
              <w:spacing w:after="0" w:line="240" w:lineRule="auto"/>
              <w:rPr>
                <w:rFonts w:ascii="Times" w:hAnsi="Times" w:eastAsia="Batang"/>
                <w:lang w:val="en-GB"/>
              </w:rPr>
            </w:pPr>
            <w:r>
              <w:rPr>
                <w:rFonts w:hint="eastAsia" w:ascii="Times" w:hAnsi="Times" w:eastAsia="Batang"/>
                <w:highlight w:val="green"/>
                <w:lang w:val="en-GB"/>
              </w:rPr>
              <w:t>Agreements</w:t>
            </w:r>
            <w:r>
              <w:rPr>
                <w:rFonts w:hint="eastAsia" w:ascii="Times" w:hAnsi="Times" w:eastAsia="Batang"/>
                <w:lang w:val="en-GB"/>
              </w:rPr>
              <w:t>:</w:t>
            </w:r>
          </w:p>
          <w:p>
            <w:pPr>
              <w:autoSpaceDN w:val="0"/>
              <w:spacing w:after="0" w:line="240" w:lineRule="auto"/>
              <w:rPr>
                <w:rFonts w:ascii="Times" w:hAnsi="Times" w:eastAsia="Malgun Gothic"/>
                <w:lang w:val="en-GB" w:eastAsia="ko-KR"/>
              </w:rPr>
            </w:pPr>
            <w:r>
              <w:rPr>
                <w:rFonts w:hint="eastAsia" w:ascii="Times" w:hAnsi="Times" w:eastAsia="Malgun Gothic"/>
                <w:lang w:val="en-GB" w:eastAsia="ko-KR"/>
              </w:rPr>
              <w:t>Regarding Q2 in LS from RAN2, the following is captured:</w:t>
            </w:r>
          </w:p>
          <w:p>
            <w:pPr>
              <w:numPr>
                <w:ilvl w:val="0"/>
                <w:numId w:val="10"/>
              </w:numPr>
              <w:spacing w:after="0" w:line="240" w:lineRule="auto"/>
              <w:jc w:val="both"/>
              <w:rPr>
                <w:color w:val="000000"/>
                <w:lang w:eastAsia="zh-CN"/>
              </w:rPr>
            </w:pPr>
            <w:r>
              <w:rPr>
                <w:rFonts w:hint="eastAsia" w:ascii="Times" w:hAnsi="Times" w:eastAsia="Malgun Gothic"/>
                <w:lang w:val="en-GB" w:eastAsia="ko-KR"/>
              </w:rPr>
              <w:t xml:space="preserve">RAN1 discussed the feasibility of support of shorter periodicities for DL SPS, it is feasible to support periodicity down to 1 slot for all SCSs and single SPS configuration with certain constraints related </w:t>
            </w:r>
            <w:r>
              <w:rPr>
                <w:rFonts w:hint="eastAsia"/>
                <w:color w:val="000000"/>
                <w:sz w:val="21"/>
                <w:lang w:val="en-GB" w:eastAsia="ko-KR"/>
              </w:rPr>
              <w:t>to HARQ-ACK feedback and combinations of DL &amp; UL SCSs</w:t>
            </w:r>
          </w:p>
        </w:tc>
      </w:tr>
    </w:tbl>
    <w:p>
      <w:pPr>
        <w:jc w:val="both"/>
        <w:rPr>
          <w:color w:val="000000"/>
          <w:sz w:val="22"/>
          <w:szCs w:val="28"/>
          <w:lang w:eastAsia="zh-CN"/>
        </w:rPr>
      </w:pPr>
      <w:r>
        <w:rPr>
          <w:rFonts w:hint="eastAsia"/>
          <w:color w:val="000000"/>
          <w:sz w:val="22"/>
          <w:szCs w:val="28"/>
          <w:lang w:eastAsia="zh-CN"/>
        </w:rPr>
        <w:t>In this contribution, we will discuss the issue about periodicity misalignment between TSC traffic and SPS/CG.</w:t>
      </w:r>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pStyle w:val="4"/>
        <w:numPr>
          <w:ilvl w:val="1"/>
          <w:numId w:val="9"/>
        </w:numPr>
        <w:rPr>
          <w:sz w:val="24"/>
          <w:szCs w:val="24"/>
        </w:rPr>
      </w:pPr>
      <w:r>
        <w:rPr>
          <w:rFonts w:ascii="Times New Roman" w:hAnsi="Times New Roman" w:cs="Times New Roman"/>
          <w:sz w:val="24"/>
          <w:szCs w:val="24"/>
        </w:rPr>
        <w:t>Finer granularity of SPS</w:t>
      </w:r>
      <w:r>
        <w:rPr>
          <w:rFonts w:hint="eastAsia" w:ascii="Times New Roman" w:hAnsi="Times New Roman" w:cs="Times New Roman"/>
          <w:sz w:val="24"/>
          <w:szCs w:val="24"/>
        </w:rPr>
        <w:t xml:space="preserve"> periodicity</w:t>
      </w:r>
    </w:p>
    <w:p>
      <w:pPr>
        <w:pStyle w:val="3"/>
        <w:rPr>
          <w:sz w:val="21"/>
          <w:lang w:eastAsia="zh-CN"/>
        </w:rPr>
      </w:pPr>
      <w:r>
        <w:rPr>
          <w:rFonts w:hint="eastAsia"/>
          <w:sz w:val="21"/>
          <w:lang w:eastAsia="zh-CN"/>
        </w:rPr>
        <w:t xml:space="preserve">In RAN1#97 meeting, </w:t>
      </w:r>
      <w:r>
        <w:rPr>
          <w:sz w:val="21"/>
          <w:lang w:eastAsia="ko"/>
        </w:rPr>
        <w:t xml:space="preserve">RAN1 </w:t>
      </w:r>
      <w:r>
        <w:rPr>
          <w:rFonts w:hint="eastAsia"/>
          <w:sz w:val="21"/>
          <w:lang w:eastAsia="zh-CN"/>
        </w:rPr>
        <w:t>discussed the feasibility of support SPS periodicity of at least 0.5ms and shorter than 0.5ms (e.g. 2 symbols) based on RAN2 LS. RAN1 confirms that</w:t>
      </w:r>
      <w:r>
        <w:rPr>
          <w:rFonts w:hint="eastAsia"/>
          <w:sz w:val="21"/>
          <w:lang w:val="en-GB" w:eastAsia="ko-KR"/>
        </w:rPr>
        <w:t xml:space="preserve"> it is feasible to support periodicity down to 1 slot for all SCSs</w:t>
      </w:r>
      <w:r>
        <w:rPr>
          <w:rFonts w:hint="eastAsia"/>
          <w:sz w:val="21"/>
          <w:lang w:eastAsia="zh-CN"/>
        </w:rPr>
        <w:t>. In addition, RAN1 concluded that they</w:t>
      </w:r>
      <w:r>
        <w:rPr>
          <w:rFonts w:hint="eastAsia"/>
          <w:sz w:val="21"/>
          <w:lang w:val="en-GB" w:eastAsia="ko-KR"/>
        </w:rPr>
        <w:t xml:space="preserve"> </w:t>
      </w:r>
      <w:r>
        <w:rPr>
          <w:sz w:val="21"/>
          <w:lang w:eastAsia="ko"/>
        </w:rPr>
        <w:t>will continue to further investigate whether or not it is feasible to support periodicities shorter than 1 slot for SPS</w:t>
      </w:r>
      <w:r>
        <w:rPr>
          <w:rFonts w:hint="eastAsia"/>
          <w:sz w:val="21"/>
          <w:lang w:eastAsia="zh-CN"/>
        </w:rPr>
        <w:t>.</w:t>
      </w:r>
    </w:p>
    <w:p>
      <w:pPr>
        <w:pStyle w:val="3"/>
        <w:rPr>
          <w:rFonts w:eastAsia="宋体"/>
          <w:b/>
          <w:sz w:val="22"/>
          <w:szCs w:val="22"/>
          <w:lang w:eastAsia="zh-CN"/>
        </w:rPr>
      </w:pPr>
      <w:r>
        <w:rPr>
          <w:rFonts w:hint="eastAsia" w:eastAsia="宋体"/>
          <w:b/>
          <w:sz w:val="22"/>
          <w:szCs w:val="22"/>
          <w:lang w:eastAsia="zh-CN"/>
        </w:rPr>
        <w:t>Proposal 1: Confirm one-slot periodicity for SPS configuration will be supported, whether sub-slot periodicity will be support waits for RAN1.</w:t>
      </w:r>
    </w:p>
    <w:p>
      <w:pPr>
        <w:pStyle w:val="4"/>
        <w:numPr>
          <w:ilvl w:val="1"/>
          <w:numId w:val="9"/>
        </w:numPr>
        <w:rPr>
          <w:rFonts w:ascii="Times New Roman" w:hAnsi="Times New Roman" w:cs="Times New Roman"/>
          <w:sz w:val="24"/>
          <w:szCs w:val="40"/>
        </w:rPr>
      </w:pPr>
      <w:r>
        <w:rPr>
          <w:rFonts w:ascii="Times New Roman" w:hAnsi="Times New Roman" w:cs="Times New Roman"/>
          <w:sz w:val="24"/>
          <w:szCs w:val="40"/>
        </w:rPr>
        <w:t>Solution for Periodicity misalignment between TSC traffic and SPS/CG</w:t>
      </w:r>
    </w:p>
    <w:p>
      <w:pPr>
        <w:jc w:val="both"/>
        <w:rPr>
          <w:sz w:val="21"/>
          <w:szCs w:val="28"/>
          <w:lang w:eastAsia="zh-CN"/>
        </w:rPr>
      </w:pPr>
      <w:r>
        <w:rPr>
          <w:rFonts w:hint="eastAsia"/>
          <w:sz w:val="21"/>
          <w:szCs w:val="28"/>
          <w:lang w:eastAsia="zh-CN"/>
        </w:rPr>
        <w:t>For some TSC use cases (e.g. smart grid), the periodicity of TSC message is not integer-multiple of NR supported symbol or slot periods. As the boundary of allocated resource must be aligned with the boundary of slot in NR, the periodicity misalignment issue between TSC traffic and SPS/CG resource is inevitable. When the mismatch accumulated over time exceeds the allowed latency, the delay requirement of this packet cannot be guaranteed with the reserved resource.</w:t>
      </w:r>
    </w:p>
    <w:p>
      <w:pPr>
        <w:jc w:val="both"/>
        <w:rPr>
          <w:sz w:val="21"/>
          <w:szCs w:val="28"/>
          <w:lang w:eastAsia="zh-CN"/>
        </w:rPr>
      </w:pPr>
      <w:r>
        <w:rPr>
          <w:rFonts w:hint="eastAsia"/>
          <w:sz w:val="21"/>
          <w:szCs w:val="28"/>
          <w:lang w:eastAsia="zh-CN"/>
        </w:rPr>
        <w:t>Some potential solutions have been analyzed, and the pros and cons are summarized in the following table.</w:t>
      </w:r>
    </w:p>
    <w:tbl>
      <w:tblPr>
        <w:tblStyle w:val="24"/>
        <w:tblW w:w="9208"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3256"/>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tcPr>
          <w:p>
            <w:pPr>
              <w:jc w:val="both"/>
              <w:rPr>
                <w:lang w:eastAsia="zh-CN"/>
              </w:rPr>
            </w:pPr>
            <w:r>
              <w:rPr>
                <w:rFonts w:hint="eastAsia"/>
                <w:lang w:eastAsia="zh-CN"/>
              </w:rPr>
              <w:t>Solution</w:t>
            </w:r>
          </w:p>
        </w:tc>
        <w:tc>
          <w:tcPr>
            <w:tcW w:w="3256" w:type="dxa"/>
          </w:tcPr>
          <w:p>
            <w:pPr>
              <w:jc w:val="both"/>
              <w:rPr>
                <w:lang w:eastAsia="zh-CN"/>
              </w:rPr>
            </w:pPr>
            <w:r>
              <w:rPr>
                <w:rFonts w:hint="eastAsia"/>
                <w:lang w:eastAsia="zh-CN"/>
              </w:rPr>
              <w:t>advantage</w:t>
            </w:r>
          </w:p>
        </w:tc>
        <w:tc>
          <w:tcPr>
            <w:tcW w:w="3969" w:type="dxa"/>
          </w:tcPr>
          <w:p>
            <w:pPr>
              <w:jc w:val="both"/>
              <w:rPr>
                <w:lang w:eastAsia="zh-CN"/>
              </w:rPr>
            </w:pPr>
            <w:r>
              <w:rPr>
                <w:rFonts w:hint="eastAsia"/>
                <w:lang w:eastAsia="zh-CN"/>
              </w:rPr>
              <w:t>disadvantage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tcPr>
          <w:p>
            <w:pPr>
              <w:pStyle w:val="4"/>
            </w:pPr>
            <w:r>
              <w:rPr>
                <w:rFonts w:ascii="Times New Roman" w:hAnsi="Times New Roman" w:cs="Times New Roman"/>
                <w:sz w:val="22"/>
                <w:szCs w:val="36"/>
              </w:rPr>
              <w:t>Finer granularity of SPS</w:t>
            </w:r>
            <w:r>
              <w:rPr>
                <w:rFonts w:hint="eastAsia" w:ascii="Times New Roman" w:hAnsi="Times New Roman" w:cs="Times New Roman"/>
                <w:sz w:val="22"/>
                <w:szCs w:val="36"/>
              </w:rPr>
              <w:t xml:space="preserve"> periodicity</w:t>
            </w:r>
          </w:p>
          <w:p>
            <w:pPr>
              <w:jc w:val="both"/>
              <w:rPr>
                <w:lang w:eastAsia="zh-CN"/>
              </w:rPr>
            </w:pPr>
          </w:p>
        </w:tc>
        <w:tc>
          <w:tcPr>
            <w:tcW w:w="3256" w:type="dxa"/>
          </w:tcPr>
          <w:p>
            <w:pPr>
              <w:jc w:val="both"/>
              <w:rPr>
                <w:lang w:eastAsia="zh-CN"/>
              </w:rPr>
            </w:pPr>
            <w:r>
              <w:rPr>
                <w:rFonts w:hint="eastAsia"/>
                <w:lang w:eastAsia="zh-CN"/>
              </w:rPr>
              <w:t xml:space="preserve">1. </w:t>
            </w:r>
            <w:r>
              <w:rPr>
                <w:rFonts w:hint="eastAsia"/>
              </w:rPr>
              <w:t>relatively small</w:t>
            </w:r>
            <w:r>
              <w:rPr>
                <w:rFonts w:hint="eastAsia" w:eastAsia="宋体"/>
                <w:lang w:eastAsia="zh-CN"/>
              </w:rPr>
              <w:t xml:space="preserve"> </w:t>
            </w:r>
            <w:r>
              <w:rPr>
                <w:rFonts w:hint="eastAsia"/>
              </w:rPr>
              <w:t>specification changes required</w:t>
            </w:r>
            <w:r>
              <w:rPr>
                <w:rFonts w:hint="eastAsia"/>
                <w:lang w:eastAsia="zh-CN"/>
              </w:rPr>
              <w:t>, e.g.</w:t>
            </w:r>
            <w:r>
              <w:rPr>
                <w:lang w:eastAsia="zh-CN"/>
              </w:rPr>
              <w:t xml:space="preserve">, </w:t>
            </w:r>
            <w:r>
              <w:rPr>
                <w:rFonts w:hint="eastAsia"/>
                <w:lang w:eastAsia="zh-CN"/>
              </w:rPr>
              <w:t xml:space="preserve">the supporting of finer granularity of SPS/CG periodicities. </w:t>
            </w:r>
          </w:p>
        </w:tc>
        <w:tc>
          <w:tcPr>
            <w:tcW w:w="3969" w:type="dxa"/>
          </w:tcPr>
          <w:p>
            <w:pPr>
              <w:jc w:val="both"/>
              <w:rPr>
                <w:lang w:eastAsia="zh-CN"/>
              </w:rPr>
            </w:pPr>
            <w:r>
              <w:rPr>
                <w:rFonts w:hint="eastAsia"/>
                <w:lang w:eastAsia="zh-CN"/>
              </w:rPr>
              <w:t>The side-effect is resource waste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tcPr>
          <w:p>
            <w:pPr>
              <w:jc w:val="both"/>
              <w:rPr>
                <w:lang w:eastAsia="zh-CN"/>
              </w:rPr>
            </w:pPr>
            <w:r>
              <w:rPr>
                <w:rFonts w:eastAsia="MS Mincho"/>
                <w:b/>
                <w:bCs/>
                <w:iCs/>
                <w:sz w:val="22"/>
                <w:szCs w:val="36"/>
                <w:lang w:eastAsia="zh-CN"/>
              </w:rPr>
              <w:t>SPS/CG</w:t>
            </w:r>
            <w:r>
              <w:rPr>
                <w:rFonts w:hint="eastAsia" w:eastAsia="MS Mincho"/>
                <w:b/>
                <w:bCs/>
                <w:iCs/>
                <w:sz w:val="22"/>
                <w:szCs w:val="36"/>
                <w:lang w:eastAsia="zh-CN"/>
              </w:rPr>
              <w:t xml:space="preserve"> </w:t>
            </w:r>
            <w:r>
              <w:rPr>
                <w:rFonts w:eastAsia="MS Mincho"/>
                <w:b/>
                <w:bCs/>
                <w:iCs/>
                <w:sz w:val="22"/>
                <w:szCs w:val="36"/>
                <w:lang w:eastAsia="zh-CN"/>
              </w:rPr>
              <w:t>resource reconfiguration</w:t>
            </w:r>
          </w:p>
        </w:tc>
        <w:tc>
          <w:tcPr>
            <w:tcW w:w="3256" w:type="dxa"/>
          </w:tcPr>
          <w:p>
            <w:pPr>
              <w:jc w:val="both"/>
              <w:rPr>
                <w:lang w:eastAsia="zh-CN"/>
              </w:rPr>
            </w:pPr>
            <w:r>
              <w:rPr>
                <w:rFonts w:hint="eastAsia"/>
                <w:lang w:eastAsia="zh-CN"/>
              </w:rPr>
              <w:t>1.needs no specification work.</w:t>
            </w:r>
          </w:p>
        </w:tc>
        <w:tc>
          <w:tcPr>
            <w:tcW w:w="3969" w:type="dxa"/>
          </w:tcPr>
          <w:p>
            <w:pPr>
              <w:numPr>
                <w:ilvl w:val="0"/>
                <w:numId w:val="11"/>
              </w:numPr>
              <w:jc w:val="both"/>
              <w:rPr>
                <w:lang w:eastAsia="zh-CN"/>
              </w:rPr>
            </w:pPr>
            <w:r>
              <w:rPr>
                <w:rFonts w:hint="eastAsia"/>
                <w:lang w:eastAsia="zh-CN"/>
              </w:rPr>
              <w:t>such adjustment may be needed very frequently thus the signalling overhead could be significant.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tcPr>
          <w:p>
            <w:pPr>
              <w:jc w:val="both"/>
              <w:rPr>
                <w:rFonts w:eastAsia="MS Mincho"/>
                <w:b/>
                <w:bCs/>
                <w:iCs/>
                <w:sz w:val="22"/>
                <w:szCs w:val="36"/>
                <w:lang w:eastAsia="zh-CN"/>
              </w:rPr>
            </w:pPr>
            <w:r>
              <w:rPr>
                <w:rFonts w:eastAsia="MS Mincho"/>
                <w:b/>
                <w:bCs/>
                <w:iCs/>
                <w:sz w:val="22"/>
                <w:szCs w:val="36"/>
                <w:lang w:eastAsia="zh-CN"/>
              </w:rPr>
              <w:t>Multiple CG/SPS configurations</w:t>
            </w:r>
          </w:p>
        </w:tc>
        <w:tc>
          <w:tcPr>
            <w:tcW w:w="3256" w:type="dxa"/>
          </w:tcPr>
          <w:p>
            <w:r>
              <w:rPr>
                <w:rFonts w:hint="eastAsia" w:eastAsia="宋体"/>
                <w:lang w:eastAsia="zh-CN"/>
              </w:rPr>
              <w:t>1.</w:t>
            </w:r>
            <w:r>
              <w:rPr>
                <w:rFonts w:hint="eastAsia"/>
              </w:rPr>
              <w:t xml:space="preserve"> high allocation utilization ratio </w:t>
            </w:r>
          </w:p>
          <w:p>
            <w:pPr>
              <w:jc w:val="both"/>
              <w:rPr>
                <w:lang w:eastAsia="zh-CN"/>
              </w:rPr>
            </w:pPr>
            <w:r>
              <w:rPr>
                <w:rFonts w:hint="eastAsia" w:eastAsia="宋体"/>
                <w:lang w:eastAsia="zh-CN"/>
              </w:rPr>
              <w:t xml:space="preserve">2. </w:t>
            </w:r>
            <w:r>
              <w:rPr>
                <w:rFonts w:hint="eastAsia"/>
              </w:rPr>
              <w:t>multiple CG/SPS configurations support is already agreed and will be specified</w:t>
            </w:r>
          </w:p>
        </w:tc>
        <w:tc>
          <w:tcPr>
            <w:tcW w:w="3969" w:type="dxa"/>
          </w:tcPr>
          <w:p>
            <w:pPr>
              <w:numPr>
                <w:ilvl w:val="0"/>
                <w:numId w:val="12"/>
              </w:numPr>
              <w:jc w:val="both"/>
              <w:rPr>
                <w:lang w:eastAsia="zh-CN"/>
              </w:rPr>
            </w:pPr>
            <w:r>
              <w:rPr>
                <w:rFonts w:hint="eastAsia"/>
              </w:rPr>
              <w:t>requires multiple CG/SPS configurations to serve a single TSN flow limiting the number of TSN flows supported by a single UE (tradeoff up to network)</w:t>
            </w:r>
          </w:p>
          <w:p>
            <w:pPr>
              <w:numPr>
                <w:ilvl w:val="0"/>
                <w:numId w:val="12"/>
              </w:numPr>
              <w:jc w:val="both"/>
            </w:pPr>
            <w:r>
              <w:rPr>
                <w:rFonts w:hint="eastAsia"/>
                <w:lang w:eastAsia="zh-CN"/>
              </w:rPr>
              <w:t>Resource waste;</w:t>
            </w:r>
          </w:p>
          <w:p>
            <w:pPr>
              <w:numPr>
                <w:ilvl w:val="0"/>
                <w:numId w:val="12"/>
              </w:numPr>
              <w:jc w:val="both"/>
              <w:rPr>
                <w:lang w:eastAsia="zh-CN"/>
              </w:rPr>
            </w:pPr>
            <w:r>
              <w:rPr>
                <w:rFonts w:hint="eastAsia"/>
              </w:rPr>
              <w:t xml:space="preserve"> unnecessary SPS decoding attempts from the UE for DL direction</w:t>
            </w:r>
          </w:p>
        </w:tc>
      </w:tr>
    </w:tbl>
    <w:p>
      <w:pPr>
        <w:jc w:val="both"/>
        <w:rPr>
          <w:sz w:val="22"/>
          <w:szCs w:val="32"/>
          <w:lang w:eastAsia="zh-CN"/>
        </w:rPr>
      </w:pPr>
      <w:bookmarkStart w:id="5" w:name="OLE_LINK29"/>
      <w:bookmarkStart w:id="6" w:name="OLE_LINK28"/>
      <w:bookmarkStart w:id="7" w:name="OLE_LINK31"/>
      <w:bookmarkStart w:id="8" w:name="OLE_LINK22"/>
      <w:bookmarkStart w:id="9" w:name="OLE_LINK30"/>
      <w:bookmarkStart w:id="10" w:name="OLE_LINK24"/>
      <w:bookmarkStart w:id="11" w:name="OLE_LINK23"/>
      <w:bookmarkStart w:id="12" w:name="OLE_LINK21"/>
    </w:p>
    <w:p>
      <w:pPr>
        <w:jc w:val="both"/>
        <w:rPr>
          <w:sz w:val="22"/>
          <w:szCs w:val="32"/>
          <w:lang w:eastAsia="zh-CN"/>
        </w:rPr>
      </w:pPr>
      <w:r>
        <w:rPr>
          <w:rFonts w:hint="eastAsia"/>
          <w:sz w:val="22"/>
          <w:szCs w:val="32"/>
          <w:lang w:eastAsia="zh-CN"/>
        </w:rPr>
        <w:t>In order to reduce resource waste and signaling overhead, some other solutions have been proposed, which are summarized as following:</w:t>
      </w:r>
    </w:p>
    <w:p>
      <w:pPr>
        <w:numPr>
          <w:ilvl w:val="0"/>
          <w:numId w:val="13"/>
        </w:numPr>
        <w:ind w:left="840"/>
        <w:rPr>
          <w:i/>
          <w:iCs/>
          <w:sz w:val="21"/>
          <w:szCs w:val="28"/>
          <w:u w:val="single"/>
          <w:lang w:eastAsia="zh-CN"/>
        </w:rPr>
      </w:pPr>
      <w:r>
        <w:rPr>
          <w:i/>
          <w:iCs/>
          <w:sz w:val="21"/>
          <w:szCs w:val="28"/>
          <w:u w:val="single"/>
          <w:lang w:eastAsia="zh-CN"/>
        </w:rPr>
        <w:t>Sub-option 1: bitmap-based resource configuration like LAA</w:t>
      </w:r>
      <w:r>
        <w:rPr>
          <w:rFonts w:hint="eastAsia"/>
          <w:i/>
          <w:iCs/>
          <w:sz w:val="21"/>
          <w:szCs w:val="28"/>
          <w:u w:val="single"/>
          <w:lang w:eastAsia="zh-CN"/>
        </w:rPr>
        <w:t>;</w:t>
      </w:r>
    </w:p>
    <w:p>
      <w:pPr>
        <w:numPr>
          <w:ilvl w:val="0"/>
          <w:numId w:val="13"/>
        </w:numPr>
        <w:ind w:left="840"/>
        <w:jc w:val="both"/>
        <w:rPr>
          <w:i/>
          <w:iCs/>
          <w:sz w:val="21"/>
          <w:szCs w:val="28"/>
          <w:u w:val="single"/>
          <w:lang w:eastAsia="zh-CN"/>
        </w:rPr>
      </w:pPr>
      <w:r>
        <w:rPr>
          <w:i/>
          <w:iCs/>
          <w:sz w:val="21"/>
          <w:szCs w:val="28"/>
          <w:u w:val="single"/>
          <w:lang w:eastAsia="zh-CN"/>
        </w:rPr>
        <w:t>Sub-option 2: Introduce an unavailable period in SPS/CG configuration</w:t>
      </w:r>
      <w:r>
        <w:rPr>
          <w:rFonts w:hint="eastAsia"/>
          <w:i/>
          <w:iCs/>
          <w:sz w:val="21"/>
          <w:szCs w:val="28"/>
          <w:u w:val="single"/>
          <w:lang w:eastAsia="zh-CN"/>
        </w:rPr>
        <w:t>. Specifically, f</w:t>
      </w:r>
      <w:r>
        <w:rPr>
          <w:i/>
          <w:iCs/>
          <w:sz w:val="21"/>
          <w:szCs w:val="28"/>
          <w:u w:val="single"/>
          <w:lang w:eastAsia="zh-CN"/>
        </w:rPr>
        <w:t>or unavailable period, the SPS/CG resour</w:t>
      </w:r>
      <w:r>
        <w:rPr>
          <w:rFonts w:hint="eastAsia"/>
          <w:i/>
          <w:iCs/>
          <w:sz w:val="21"/>
          <w:szCs w:val="28"/>
          <w:u w:val="single"/>
          <w:lang w:eastAsia="zh-CN"/>
        </w:rPr>
        <w:t>c</w:t>
      </w:r>
      <w:r>
        <w:rPr>
          <w:i/>
          <w:iCs/>
          <w:sz w:val="21"/>
          <w:szCs w:val="28"/>
          <w:u w:val="single"/>
          <w:lang w:eastAsia="zh-CN"/>
        </w:rPr>
        <w:t>e is released at the UE side, which can be scheduled to other UEs</w:t>
      </w:r>
      <w:r>
        <w:rPr>
          <w:rFonts w:hint="eastAsia"/>
          <w:i/>
          <w:iCs/>
          <w:sz w:val="21"/>
          <w:szCs w:val="28"/>
          <w:u w:val="single"/>
          <w:lang w:eastAsia="zh-CN"/>
        </w:rPr>
        <w:t>;</w:t>
      </w:r>
    </w:p>
    <w:p>
      <w:pPr>
        <w:numPr>
          <w:ilvl w:val="0"/>
          <w:numId w:val="13"/>
        </w:numPr>
        <w:ind w:left="840"/>
        <w:rPr>
          <w:i/>
          <w:iCs/>
          <w:sz w:val="21"/>
          <w:szCs w:val="28"/>
          <w:u w:val="single"/>
          <w:lang w:eastAsia="zh-CN"/>
        </w:rPr>
      </w:pPr>
      <w:r>
        <w:rPr>
          <w:i/>
          <w:iCs/>
          <w:sz w:val="21"/>
          <w:szCs w:val="28"/>
          <w:u w:val="single"/>
          <w:lang w:eastAsia="zh-CN"/>
        </w:rPr>
        <w:t>Sub-option 3: derive available resource based on information provided by NW</w:t>
      </w:r>
      <w:r>
        <w:rPr>
          <w:rFonts w:hint="eastAsia"/>
          <w:i/>
          <w:iCs/>
          <w:sz w:val="21"/>
          <w:szCs w:val="28"/>
          <w:u w:val="single"/>
          <w:lang w:eastAsia="zh-CN"/>
        </w:rPr>
        <w:t>;</w:t>
      </w:r>
    </w:p>
    <w:p>
      <w:pPr>
        <w:numPr>
          <w:ilvl w:val="0"/>
          <w:numId w:val="13"/>
        </w:numPr>
        <w:ind w:left="840"/>
        <w:rPr>
          <w:i/>
          <w:iCs/>
          <w:sz w:val="21"/>
          <w:szCs w:val="28"/>
          <w:u w:val="single"/>
          <w:lang w:eastAsia="zh-CN"/>
        </w:rPr>
      </w:pPr>
      <w:r>
        <w:rPr>
          <w:i/>
          <w:iCs/>
          <w:sz w:val="21"/>
          <w:szCs w:val="28"/>
          <w:u w:val="single"/>
          <w:lang w:eastAsia="zh-CN"/>
        </w:rPr>
        <w:t>Sub-option 4: Offset adjustment by UE based on information provided by NW</w:t>
      </w:r>
      <w:r>
        <w:rPr>
          <w:rFonts w:hint="eastAsia"/>
          <w:i/>
          <w:iCs/>
          <w:sz w:val="21"/>
          <w:szCs w:val="28"/>
          <w:u w:val="single"/>
          <w:lang w:eastAsia="zh-CN"/>
        </w:rPr>
        <w:t>;</w:t>
      </w:r>
    </w:p>
    <w:bookmarkEnd w:id="5"/>
    <w:bookmarkEnd w:id="6"/>
    <w:bookmarkEnd w:id="7"/>
    <w:bookmarkEnd w:id="8"/>
    <w:bookmarkEnd w:id="9"/>
    <w:bookmarkEnd w:id="10"/>
    <w:bookmarkEnd w:id="11"/>
    <w:bookmarkEnd w:id="12"/>
    <w:p>
      <w:pPr>
        <w:jc w:val="both"/>
        <w:rPr>
          <w:rFonts w:eastAsia="宋体"/>
          <w:bCs/>
          <w:sz w:val="22"/>
          <w:szCs w:val="22"/>
          <w:lang w:eastAsia="zh-CN"/>
        </w:rPr>
      </w:pPr>
      <w:r>
        <w:rPr>
          <w:rFonts w:hint="eastAsia" w:eastAsia="宋体"/>
          <w:bCs/>
          <w:sz w:val="22"/>
          <w:szCs w:val="22"/>
          <w:lang w:eastAsia="zh-CN"/>
        </w:rPr>
        <w:t xml:space="preserve">For sub-option 1 and sub-option 2, new parameters shall be introduced as a part of SPS configuration to indicate UE the available SPS/CG resource, which need much specification work to design the bitmap. For sub-option 4, UE may need to adjust frequently the SPS/CG configuration, which complicates UE behavior. For sub-option 3, UE needs to </w:t>
      </w:r>
      <w:r>
        <w:rPr>
          <w:rFonts w:hint="eastAsia" w:eastAsia="宋体"/>
          <w:bCs/>
          <w:sz w:val="22"/>
          <w:szCs w:val="22"/>
          <w:lang w:eastAsia="en-GB"/>
        </w:rPr>
        <w:t>derive the appropriate transmission occasion after each time point a TSC packet arrives</w:t>
      </w:r>
      <w:r>
        <w:rPr>
          <w:rFonts w:hint="eastAsia" w:eastAsia="宋体"/>
          <w:bCs/>
          <w:sz w:val="22"/>
          <w:szCs w:val="22"/>
          <w:lang w:eastAsia="zh-CN"/>
        </w:rPr>
        <w:t>. As gNB has knowledge of TSC traffic pattern, gNB can schedule the unused configured grant resource of a specific UE to the other UEs, which will not result in resource waste from the view of network. From the view of UE side, the current specification</w:t>
      </w:r>
      <w:r>
        <w:rPr>
          <w:rFonts w:eastAsia="宋体"/>
          <w:bCs/>
          <w:sz w:val="22"/>
          <w:szCs w:val="22"/>
          <w:lang w:eastAsia="zh-CN"/>
        </w:rPr>
        <w:t xml:space="preserve"> </w:t>
      </w:r>
      <w:r>
        <w:rPr>
          <w:rFonts w:hint="eastAsia" w:eastAsia="宋体"/>
          <w:bCs/>
          <w:sz w:val="22"/>
          <w:szCs w:val="22"/>
          <w:lang w:eastAsia="zh-CN"/>
        </w:rPr>
        <w:t>support</w:t>
      </w:r>
      <w:r>
        <w:rPr>
          <w:rFonts w:eastAsia="宋体"/>
          <w:bCs/>
          <w:sz w:val="22"/>
          <w:szCs w:val="22"/>
          <w:lang w:eastAsia="zh-CN"/>
        </w:rPr>
        <w:t>s</w:t>
      </w:r>
      <w:r>
        <w:rPr>
          <w:rFonts w:hint="eastAsia" w:eastAsia="宋体"/>
          <w:bCs/>
          <w:sz w:val="22"/>
          <w:szCs w:val="22"/>
          <w:lang w:eastAsia="zh-CN"/>
        </w:rPr>
        <w:t xml:space="preserve"> that UE skip the UL grant if there is no data for transmission. For DL transmission, it needs to enhance that UE skip the DL resource if there is no expected data for transmission to reduce power consumption caused by unnecessary SPS decoding attempts. In NR specification, for SPS resource allocation, UE shall perform HARQ feedback no matter whether the UE receives DL packet. Supporting DL skip has much gain in reducing feedback overhead.</w:t>
      </w:r>
    </w:p>
    <w:p>
      <w:pPr>
        <w:jc w:val="both"/>
        <w:rPr>
          <w:rFonts w:eastAsia="宋体"/>
          <w:b/>
          <w:bCs/>
          <w:sz w:val="22"/>
          <w:szCs w:val="22"/>
          <w:lang w:eastAsia="zh-CN"/>
        </w:rPr>
      </w:pPr>
      <w:r>
        <w:rPr>
          <w:rFonts w:eastAsia="宋体"/>
          <w:b/>
          <w:bCs/>
          <w:sz w:val="22"/>
          <w:szCs w:val="22"/>
          <w:lang w:eastAsia="zh-CN"/>
        </w:rPr>
        <w:t xml:space="preserve">Observation: Multiple SPS/CG and the finer granularity of SPS/CG interval can be used to resolve the issue on the </w:t>
      </w:r>
      <w:r>
        <w:rPr>
          <w:b/>
          <w:sz w:val="24"/>
          <w:szCs w:val="40"/>
          <w:lang w:eastAsia="zh-CN"/>
        </w:rPr>
        <w:t>periodicity misalignment between TSC traffic and SPS/CG.</w:t>
      </w:r>
    </w:p>
    <w:p>
      <w:pPr>
        <w:jc w:val="both"/>
        <w:rPr>
          <w:rFonts w:eastAsia="宋体"/>
          <w:b/>
          <w:sz w:val="22"/>
          <w:szCs w:val="22"/>
          <w:lang w:eastAsia="zh-CN"/>
        </w:rPr>
      </w:pPr>
      <w:r>
        <w:rPr>
          <w:rFonts w:hint="eastAsia" w:eastAsia="宋体"/>
          <w:b/>
          <w:sz w:val="22"/>
          <w:szCs w:val="22"/>
          <w:lang w:eastAsia="zh-CN"/>
        </w:rPr>
        <w:t xml:space="preserve">Proposal 2: </w:t>
      </w:r>
      <w:r>
        <w:rPr>
          <w:rFonts w:eastAsia="宋体"/>
          <w:b/>
          <w:sz w:val="22"/>
          <w:szCs w:val="22"/>
          <w:lang w:eastAsia="zh-CN"/>
        </w:rPr>
        <w:t xml:space="preserve">The </w:t>
      </w:r>
      <w:r>
        <w:rPr>
          <w:rFonts w:hint="eastAsia" w:eastAsia="宋体"/>
          <w:b/>
          <w:sz w:val="22"/>
          <w:szCs w:val="22"/>
          <w:lang w:eastAsia="zh-CN"/>
        </w:rPr>
        <w:t xml:space="preserve">UE can skip </w:t>
      </w:r>
      <w:r>
        <w:rPr>
          <w:rFonts w:eastAsia="宋体"/>
          <w:b/>
          <w:sz w:val="22"/>
          <w:szCs w:val="22"/>
          <w:lang w:eastAsia="zh-CN"/>
        </w:rPr>
        <w:t>some DL SPS occasions</w:t>
      </w:r>
      <w:r>
        <w:rPr>
          <w:rFonts w:hint="eastAsia" w:eastAsia="宋体"/>
          <w:b/>
          <w:sz w:val="22"/>
          <w:szCs w:val="22"/>
          <w:lang w:eastAsia="zh-CN"/>
        </w:rPr>
        <w:t xml:space="preserve"> if </w:t>
      </w:r>
      <w:r>
        <w:rPr>
          <w:rFonts w:eastAsia="宋体"/>
          <w:b/>
          <w:sz w:val="22"/>
          <w:szCs w:val="22"/>
          <w:lang w:eastAsia="zh-CN"/>
        </w:rPr>
        <w:t>some DL SPS occasions are not used for the UE</w:t>
      </w:r>
      <w:r>
        <w:rPr>
          <w:rFonts w:hint="eastAsia" w:eastAsia="宋体"/>
          <w:b/>
          <w:sz w:val="22"/>
          <w:szCs w:val="22"/>
          <w:lang w:eastAsia="zh-CN"/>
        </w:rPr>
        <w:t>.</w:t>
      </w:r>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jc w:val="both"/>
        <w:rPr>
          <w:rFonts w:eastAsia="宋体"/>
          <w:sz w:val="22"/>
          <w:szCs w:val="22"/>
          <w:lang w:eastAsia="zh-CN"/>
        </w:rPr>
      </w:pPr>
      <w:r>
        <w:rPr>
          <w:rFonts w:hint="eastAsia" w:eastAsia="宋体"/>
          <w:sz w:val="22"/>
          <w:szCs w:val="22"/>
          <w:lang w:eastAsia="zh-CN"/>
        </w:rPr>
        <w:t>In this contribution, we discuss the issue about periodicity misalignment between TSC traffic and SPS/CG, and the related observations and proposals are as following:</w:t>
      </w:r>
    </w:p>
    <w:bookmarkEnd w:id="3"/>
    <w:bookmarkEnd w:id="4"/>
    <w:p>
      <w:pPr>
        <w:jc w:val="both"/>
        <w:rPr>
          <w:rFonts w:eastAsia="宋体"/>
          <w:b/>
          <w:bCs/>
          <w:sz w:val="22"/>
          <w:szCs w:val="22"/>
          <w:lang w:eastAsia="zh-CN"/>
        </w:rPr>
      </w:pPr>
      <w:r>
        <w:rPr>
          <w:rFonts w:eastAsia="宋体"/>
          <w:b/>
          <w:bCs/>
          <w:sz w:val="22"/>
          <w:szCs w:val="22"/>
          <w:lang w:eastAsia="zh-CN"/>
        </w:rPr>
        <w:t xml:space="preserve">Observation: Multiple SPS/CG and the finer granularity of SPS/CG interval can be used to resolve the issue on the </w:t>
      </w:r>
      <w:r>
        <w:rPr>
          <w:b/>
          <w:sz w:val="24"/>
          <w:szCs w:val="40"/>
          <w:lang w:eastAsia="zh-CN"/>
        </w:rPr>
        <w:t>periodicity misalignment between TSC traffic and SPS/CG.</w:t>
      </w:r>
    </w:p>
    <w:p>
      <w:pPr>
        <w:pStyle w:val="3"/>
        <w:rPr>
          <w:rFonts w:eastAsia="宋体"/>
          <w:b/>
          <w:sz w:val="22"/>
          <w:szCs w:val="22"/>
          <w:lang w:eastAsia="zh-CN"/>
        </w:rPr>
      </w:pPr>
      <w:r>
        <w:rPr>
          <w:rFonts w:hint="eastAsia" w:eastAsia="宋体"/>
          <w:b/>
          <w:sz w:val="22"/>
          <w:szCs w:val="22"/>
          <w:lang w:eastAsia="zh-CN"/>
        </w:rPr>
        <w:t>Proposal 1: Confirm one-slot periodicity for SPS configuration will be supported, whether sub-slot periodicity will be support waits for RAN1.</w:t>
      </w:r>
    </w:p>
    <w:p>
      <w:pPr>
        <w:jc w:val="both"/>
        <w:rPr>
          <w:rFonts w:eastAsia="宋体"/>
          <w:b/>
          <w:sz w:val="22"/>
          <w:szCs w:val="22"/>
          <w:lang w:eastAsia="zh-CN"/>
        </w:rPr>
      </w:pPr>
      <w:r>
        <w:rPr>
          <w:rFonts w:hint="eastAsia" w:eastAsia="宋体"/>
          <w:b/>
          <w:sz w:val="22"/>
          <w:szCs w:val="22"/>
          <w:lang w:eastAsia="zh-CN"/>
        </w:rPr>
        <w:t xml:space="preserve">Proposal 2: </w:t>
      </w:r>
      <w:r>
        <w:rPr>
          <w:rFonts w:eastAsia="宋体"/>
          <w:b/>
          <w:sz w:val="22"/>
          <w:szCs w:val="22"/>
          <w:lang w:eastAsia="zh-CN"/>
        </w:rPr>
        <w:t xml:space="preserve">The </w:t>
      </w:r>
      <w:r>
        <w:rPr>
          <w:rFonts w:hint="eastAsia" w:eastAsia="宋体"/>
          <w:b/>
          <w:sz w:val="22"/>
          <w:szCs w:val="22"/>
          <w:lang w:eastAsia="zh-CN"/>
        </w:rPr>
        <w:t xml:space="preserve">UE can skip </w:t>
      </w:r>
      <w:r>
        <w:rPr>
          <w:rFonts w:eastAsia="宋体"/>
          <w:b/>
          <w:sz w:val="22"/>
          <w:szCs w:val="22"/>
          <w:lang w:eastAsia="zh-CN"/>
        </w:rPr>
        <w:t>some DL SPS occasions</w:t>
      </w:r>
      <w:r>
        <w:rPr>
          <w:rFonts w:hint="eastAsia" w:eastAsia="宋体"/>
          <w:b/>
          <w:sz w:val="22"/>
          <w:szCs w:val="22"/>
          <w:lang w:eastAsia="zh-CN"/>
        </w:rPr>
        <w:t xml:space="preserve"> if </w:t>
      </w:r>
      <w:r>
        <w:rPr>
          <w:rFonts w:eastAsia="宋体"/>
          <w:b/>
          <w:sz w:val="22"/>
          <w:szCs w:val="22"/>
          <w:lang w:eastAsia="zh-CN"/>
        </w:rPr>
        <w:t>some DL SPS occasions are not used for the UE</w:t>
      </w:r>
      <w:r>
        <w:rPr>
          <w:rFonts w:hint="eastAsia" w:eastAsia="宋体"/>
          <w:b/>
          <w:sz w:val="22"/>
          <w:szCs w:val="22"/>
          <w:lang w:eastAsia="zh-CN"/>
        </w:rPr>
        <w:t>.</w:t>
      </w:r>
    </w:p>
    <w:p>
      <w:pPr>
        <w:keepNext/>
        <w:keepLines/>
        <w:numPr>
          <w:ilvl w:val="0"/>
          <w:numId w:val="9"/>
        </w:numPr>
        <w:pBdr>
          <w:top w:val="single" w:color="auto" w:sz="12" w:space="3"/>
        </w:pBdr>
        <w:tabs>
          <w:tab w:val="clear" w:pos="425"/>
        </w:tabs>
        <w:overflowPunct w:val="0"/>
        <w:autoSpaceDE w:val="0"/>
        <w:autoSpaceDN w:val="0"/>
        <w:adjustRightInd w:val="0"/>
        <w:spacing w:before="240" w:after="180"/>
        <w:textAlignment w:val="baseline"/>
        <w:outlineLvl w:val="0"/>
        <w:rPr>
          <w:rFonts w:ascii="Arial" w:hAnsi="Arial" w:eastAsia="宋体"/>
          <w:sz w:val="36"/>
          <w:szCs w:val="20"/>
          <w:lang w:val="en-GB" w:eastAsia="en-GB"/>
        </w:rPr>
      </w:pPr>
      <w:r>
        <w:rPr>
          <w:rFonts w:ascii="Arial" w:hAnsi="Arial" w:eastAsia="宋体"/>
          <w:sz w:val="36"/>
          <w:szCs w:val="20"/>
          <w:lang w:val="en-GB" w:eastAsia="en-GB"/>
        </w:rPr>
        <w:t>Reference</w:t>
      </w:r>
    </w:p>
    <w:p>
      <w:pPr>
        <w:pStyle w:val="70"/>
        <w:numPr>
          <w:ilvl w:val="0"/>
          <w:numId w:val="14"/>
        </w:numPr>
        <w:jc w:val="both"/>
      </w:pPr>
      <w:r>
        <w:fldChar w:fldCharType="begin"/>
      </w:r>
      <w:r>
        <w:instrText xml:space="preserve"> HYPERLINK "file:///D:\\Documents\\3GPP\\tsg_ran\\WG2\\RAN2\\Docs\\R2-1907198.zip" \o "D:Documents3GPPtsg_ranWG2RAN2DocsR2-1907198.zip" </w:instrText>
      </w:r>
      <w:r>
        <w:fldChar w:fldCharType="separate"/>
      </w:r>
      <w:r>
        <w:rPr>
          <w:rStyle w:val="27"/>
          <w:color w:val="auto"/>
          <w:u w:val="none"/>
        </w:rPr>
        <w:t>R2-1907198</w:t>
      </w:r>
      <w:r>
        <w:rPr>
          <w:rStyle w:val="27"/>
          <w:color w:val="auto"/>
          <w:u w:val="none"/>
        </w:rPr>
        <w:fldChar w:fldCharType="end"/>
      </w:r>
      <w:r>
        <w:rPr>
          <w:rStyle w:val="27"/>
          <w:rFonts w:hint="eastAsia" w:eastAsia="宋体"/>
          <w:color w:val="auto"/>
          <w:u w:val="none"/>
          <w:lang w:val="en-US" w:eastAsia="zh-CN"/>
        </w:rPr>
        <w:t xml:space="preserve">, </w:t>
      </w:r>
      <w:r>
        <w:t>Support for TSC message periodicities of non-integer multiple of NR CG/SPS periodicities</w:t>
      </w:r>
      <w:r>
        <w:rPr>
          <w:rFonts w:hint="eastAsia" w:eastAsia="宋体"/>
          <w:lang w:val="en-US" w:eastAsia="zh-CN"/>
        </w:rPr>
        <w:t xml:space="preserve">, </w:t>
      </w:r>
      <w:r>
        <w:t>Nokia, Nokia Shanghai Bell</w:t>
      </w:r>
      <w:r>
        <w:tab/>
      </w:r>
      <w:r>
        <w:t>discussion</w:t>
      </w:r>
      <w:r>
        <w:tab/>
      </w:r>
      <w:r>
        <w:t>Rel-16</w:t>
      </w:r>
      <w:r>
        <w:tab/>
      </w:r>
      <w:r>
        <w:t>NR_IIOT</w:t>
      </w:r>
    </w:p>
    <w:p>
      <w:pPr>
        <w:pStyle w:val="70"/>
        <w:numPr>
          <w:ilvl w:val="0"/>
          <w:numId w:val="14"/>
        </w:numPr>
        <w:jc w:val="both"/>
      </w:pPr>
      <w:r>
        <w:fldChar w:fldCharType="begin"/>
      </w:r>
      <w:r>
        <w:instrText xml:space="preserve"> HYPERLINK "file:///D:\\Documents\\3GPP\\tsg_ran\\WG2\\RAN2\\Docs\\R2-1907233.zip" \o "D:Documents3GPPtsg_ranWG2RAN2DocsR2-1907233.zip" </w:instrText>
      </w:r>
      <w:r>
        <w:fldChar w:fldCharType="separate"/>
      </w:r>
      <w:r>
        <w:rPr>
          <w:rStyle w:val="27"/>
          <w:color w:val="auto"/>
          <w:u w:val="none"/>
        </w:rPr>
        <w:t>R2-1907233</w:t>
      </w:r>
      <w:r>
        <w:rPr>
          <w:rStyle w:val="27"/>
          <w:color w:val="auto"/>
          <w:u w:val="none"/>
        </w:rPr>
        <w:fldChar w:fldCharType="end"/>
      </w:r>
      <w:r>
        <w:rPr>
          <w:rStyle w:val="27"/>
          <w:rFonts w:hint="eastAsia" w:eastAsia="宋体"/>
          <w:color w:val="auto"/>
          <w:u w:val="none"/>
          <w:lang w:val="en-US" w:eastAsia="zh-CN"/>
        </w:rPr>
        <w:t xml:space="preserve">, </w:t>
      </w:r>
      <w:r>
        <w:t>"Solutions to mitigate the periodicity misalignment</w:t>
      </w:r>
      <w:r>
        <w:tab/>
      </w:r>
      <w:r>
        <w:t>between TSC traffic and CG/SPS"</w:t>
      </w:r>
      <w:r>
        <w:tab/>
      </w:r>
      <w:r>
        <w:t>Huawei, HiSilicon</w:t>
      </w:r>
      <w:r>
        <w:tab/>
      </w:r>
      <w:r>
        <w:t>discussion</w:t>
      </w:r>
      <w:r>
        <w:tab/>
      </w:r>
      <w:r>
        <w:t>Rel-16</w:t>
      </w:r>
      <w:r>
        <w:tab/>
      </w:r>
      <w:r>
        <w:t>NR_IIOT-Core</w:t>
      </w:r>
    </w:p>
    <w:p>
      <w:pPr>
        <w:pStyle w:val="70"/>
        <w:numPr>
          <w:ilvl w:val="0"/>
          <w:numId w:val="14"/>
        </w:numPr>
        <w:jc w:val="both"/>
      </w:pPr>
      <w:r>
        <w:fldChar w:fldCharType="begin"/>
      </w:r>
      <w:r>
        <w:instrText xml:space="preserve"> HYPERLINK "file:///D:\\Documents\\3GPP\\tsg_ran\\WG2\\RAN2\\Docs\\R2-1906841.zip" \o "D:Documents3GPPtsg_ranWG2RAN2DocsR2-1906841.zip" </w:instrText>
      </w:r>
      <w:r>
        <w:fldChar w:fldCharType="separate"/>
      </w:r>
      <w:r>
        <w:rPr>
          <w:rStyle w:val="27"/>
          <w:color w:val="auto"/>
          <w:u w:val="none"/>
        </w:rPr>
        <w:t>R2-1906841</w:t>
      </w:r>
      <w:r>
        <w:rPr>
          <w:rStyle w:val="27"/>
          <w:color w:val="auto"/>
          <w:u w:val="none"/>
        </w:rPr>
        <w:fldChar w:fldCharType="end"/>
      </w:r>
      <w:r>
        <w:rPr>
          <w:rStyle w:val="27"/>
          <w:rFonts w:hint="eastAsia" w:eastAsia="宋体"/>
          <w:color w:val="auto"/>
          <w:u w:val="none"/>
          <w:lang w:val="en-US" w:eastAsia="zh-CN"/>
        </w:rPr>
        <w:t>,</w:t>
      </w:r>
      <w:r>
        <w:t>On support of non-integer multiple of CG/SPS periodicities</w:t>
      </w:r>
      <w:r>
        <w:tab/>
      </w:r>
      <w:r>
        <w:t>Ericsson</w:t>
      </w:r>
      <w:r>
        <w:rPr>
          <w:rFonts w:hint="eastAsia" w:eastAsia="宋体"/>
          <w:lang w:val="en-US" w:eastAsia="zh-CN"/>
        </w:rPr>
        <w:t xml:space="preserve"> </w:t>
      </w:r>
      <w:r>
        <w:t>discussion</w:t>
      </w:r>
      <w:r>
        <w:rPr>
          <w:rFonts w:hint="eastAsia" w:eastAsia="宋体"/>
          <w:lang w:val="en-US" w:eastAsia="zh-CN"/>
        </w:rPr>
        <w:t xml:space="preserve"> </w:t>
      </w:r>
      <w:r>
        <w:t>FS_NR_IIOT</w:t>
      </w:r>
    </w:p>
    <w:p>
      <w:pPr>
        <w:pStyle w:val="70"/>
        <w:numPr>
          <w:ilvl w:val="0"/>
          <w:numId w:val="14"/>
        </w:numPr>
        <w:jc w:val="both"/>
      </w:pPr>
      <w:r>
        <w:fldChar w:fldCharType="begin"/>
      </w:r>
      <w:r>
        <w:instrText xml:space="preserve"> HYPERLINK "file:///D:\\Documents\\3GPP\\tsg_ran\\WG2\\RAN2\\Docs\\R2-1907608.zip" \o "D:Documents3GPPtsg_ranWG2RAN2DocsR2-1907608.zip" </w:instrText>
      </w:r>
      <w:r>
        <w:fldChar w:fldCharType="separate"/>
      </w:r>
      <w:r>
        <w:rPr>
          <w:rStyle w:val="27"/>
          <w:color w:val="auto"/>
          <w:u w:val="none"/>
        </w:rPr>
        <w:t>R2-1907608</w:t>
      </w:r>
      <w:r>
        <w:rPr>
          <w:rStyle w:val="27"/>
          <w:color w:val="auto"/>
          <w:u w:val="none"/>
        </w:rPr>
        <w:fldChar w:fldCharType="end"/>
      </w:r>
      <w:r>
        <w:rPr>
          <w:rStyle w:val="27"/>
          <w:rFonts w:hint="eastAsia" w:eastAsia="宋体"/>
          <w:color w:val="auto"/>
          <w:u w:val="none"/>
          <w:lang w:val="en-US" w:eastAsia="zh-CN"/>
        </w:rPr>
        <w:t xml:space="preserve">, </w:t>
      </w:r>
      <w:r>
        <w:t>Scheduling enhancements for TSN traffic</w:t>
      </w:r>
      <w:r>
        <w:tab/>
      </w:r>
      <w:r>
        <w:t>Intel Corporation</w:t>
      </w:r>
      <w:r>
        <w:tab/>
      </w:r>
      <w:r>
        <w:t>discussion</w:t>
      </w:r>
      <w:r>
        <w:rPr>
          <w:rFonts w:hint="eastAsia" w:eastAsia="宋体"/>
          <w:lang w:val="en-US" w:eastAsia="zh-CN"/>
        </w:rPr>
        <w:t xml:space="preserve"> </w:t>
      </w:r>
      <w:r>
        <w:t>Rel-16</w:t>
      </w:r>
      <w:r>
        <w:tab/>
      </w:r>
      <w:r>
        <w:t>NR_IIOT-Core</w:t>
      </w:r>
    </w:p>
    <w:p>
      <w:pPr>
        <w:pStyle w:val="70"/>
        <w:numPr>
          <w:ilvl w:val="0"/>
          <w:numId w:val="14"/>
        </w:numPr>
        <w:jc w:val="both"/>
      </w:pPr>
      <w:r>
        <w:fldChar w:fldCharType="begin"/>
      </w:r>
      <w:r>
        <w:instrText xml:space="preserve"> HYPERLINK "file:///D:\\Documents\\3GPP\\tsg_ran\\WG2\\RAN2\\Docs\\R2-1905913.zip" \o "D:Documents3GPPtsg_ranWG2RAN2DocsR2-1905913.zip" </w:instrText>
      </w:r>
      <w:r>
        <w:fldChar w:fldCharType="separate"/>
      </w:r>
      <w:r>
        <w:rPr>
          <w:rStyle w:val="27"/>
          <w:color w:val="auto"/>
          <w:u w:val="none"/>
        </w:rPr>
        <w:t>R2-1905913</w:t>
      </w:r>
      <w:r>
        <w:rPr>
          <w:rStyle w:val="27"/>
          <w:color w:val="auto"/>
          <w:u w:val="none"/>
        </w:rPr>
        <w:fldChar w:fldCharType="end"/>
      </w:r>
      <w:r>
        <w:rPr>
          <w:rStyle w:val="27"/>
          <w:rFonts w:hint="eastAsia" w:eastAsia="宋体"/>
          <w:color w:val="auto"/>
          <w:u w:val="none"/>
          <w:lang w:val="en-US" w:eastAsia="zh-CN"/>
        </w:rPr>
        <w:t xml:space="preserve">, </w:t>
      </w:r>
      <w:r>
        <w:t>HOW to address non-integer multiple of CG/SPS periodicities</w:t>
      </w:r>
      <w:r>
        <w:tab/>
      </w:r>
      <w:r>
        <w:t>CMCC</w:t>
      </w:r>
      <w:r>
        <w:tab/>
      </w:r>
      <w:r>
        <w:t>discussion</w:t>
      </w:r>
      <w:r>
        <w:rPr>
          <w:rFonts w:hint="eastAsia" w:eastAsia="宋体"/>
          <w:lang w:val="en-US" w:eastAsia="zh-CN"/>
        </w:rPr>
        <w:t xml:space="preserve"> </w:t>
      </w:r>
      <w:r>
        <w:t>Rel-16</w:t>
      </w:r>
      <w:r>
        <w:tab/>
      </w:r>
      <w:r>
        <w:t>NR_IIOT-Core</w:t>
      </w:r>
    </w:p>
    <w:p>
      <w:pPr>
        <w:pStyle w:val="70"/>
        <w:numPr>
          <w:ilvl w:val="0"/>
          <w:numId w:val="14"/>
        </w:numPr>
        <w:jc w:val="both"/>
        <w:rPr>
          <w:rFonts w:eastAsiaTheme="minorEastAsia"/>
          <w:sz w:val="22"/>
          <w:szCs w:val="22"/>
          <w:lang w:eastAsia="zh-CN"/>
        </w:rPr>
      </w:pPr>
      <w:r>
        <w:fldChar w:fldCharType="begin"/>
      </w:r>
      <w:r>
        <w:instrText xml:space="preserve"> HYPERLINK "file:///D:\\Documents\\3GPP\\tsg_ran\\WG2\\RAN2\\Docs\\R2-1907117.zip" \o "D:Documents3GPPtsg_ranWG2RAN2DocsR2-1907117.zip" </w:instrText>
      </w:r>
      <w:r>
        <w:fldChar w:fldCharType="separate"/>
      </w:r>
      <w:r>
        <w:rPr>
          <w:rStyle w:val="27"/>
          <w:color w:val="auto"/>
          <w:u w:val="none"/>
        </w:rPr>
        <w:t>R2-1907117</w:t>
      </w:r>
      <w:r>
        <w:rPr>
          <w:rStyle w:val="27"/>
          <w:color w:val="auto"/>
          <w:u w:val="none"/>
        </w:rPr>
        <w:fldChar w:fldCharType="end"/>
      </w:r>
      <w:r>
        <w:rPr>
          <w:rStyle w:val="27"/>
          <w:rFonts w:hint="eastAsia" w:eastAsia="宋体"/>
          <w:color w:val="auto"/>
          <w:u w:val="none"/>
          <w:lang w:val="en-US" w:eastAsia="zh-CN"/>
        </w:rPr>
        <w:t xml:space="preserve">, </w:t>
      </w:r>
      <w:r>
        <w:t>Configured Grant enhancements for TSC traffic</w:t>
      </w:r>
      <w:r>
        <w:tab/>
      </w:r>
      <w:r>
        <w:t>Sequans Communications</w:t>
      </w:r>
      <w:r>
        <w:rPr>
          <w:rFonts w:hint="eastAsia" w:eastAsia="宋体"/>
          <w:lang w:val="en-US" w:eastAsia="zh-CN"/>
        </w:rPr>
        <w:t xml:space="preserve"> </w:t>
      </w:r>
      <w:r>
        <w:t>discussion</w:t>
      </w:r>
      <w:r>
        <w:tab/>
      </w:r>
      <w:r>
        <w:t>Rel-16</w:t>
      </w:r>
      <w:r>
        <w:tab/>
      </w:r>
      <w:r>
        <w:t>FS_NR_IIOT</w:t>
      </w:r>
      <w:r>
        <w:tab/>
      </w:r>
      <w:r>
        <w:t>R2-1904757</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Arial Bold">
    <w:altName w:val="Arial"/>
    <w:panose1 w:val="020B0704020202020204"/>
    <w:charset w:val="00"/>
    <w:family w:val="roman"/>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35407B"/>
    <w:multiLevelType w:val="singleLevel"/>
    <w:tmpl w:val="8A35407B"/>
    <w:lvl w:ilvl="0" w:tentative="0">
      <w:start w:val="1"/>
      <w:numFmt w:val="bullet"/>
      <w:lvlText w:val=""/>
      <w:lvlJc w:val="left"/>
      <w:pPr>
        <w:ind w:left="420" w:hanging="420"/>
      </w:pPr>
      <w:rPr>
        <w:rFonts w:hint="default" w:ascii="Wingdings" w:hAnsi="Wingdings"/>
      </w:rPr>
    </w:lvl>
  </w:abstractNum>
  <w:abstractNum w:abstractNumId="1">
    <w:nsid w:val="94229F27"/>
    <w:multiLevelType w:val="singleLevel"/>
    <w:tmpl w:val="94229F27"/>
    <w:lvl w:ilvl="0" w:tentative="0">
      <w:start w:val="1"/>
      <w:numFmt w:val="decimal"/>
      <w:suff w:val="space"/>
      <w:lvlText w:val="%1."/>
      <w:lvlJc w:val="left"/>
    </w:lvl>
  </w:abstractNum>
  <w:abstractNum w:abstractNumId="2">
    <w:nsid w:val="C1478896"/>
    <w:multiLevelType w:val="singleLevel"/>
    <w:tmpl w:val="C1478896"/>
    <w:lvl w:ilvl="0" w:tentative="0">
      <w:start w:val="1"/>
      <w:numFmt w:val="decimal"/>
      <w:lvlText w:val="[%1]."/>
      <w:lvlJc w:val="left"/>
      <w:pPr>
        <w:tabs>
          <w:tab w:val="left" w:pos="420"/>
        </w:tabs>
        <w:ind w:left="425" w:hanging="425"/>
      </w:pPr>
      <w:rPr>
        <w:rFonts w:hint="default"/>
      </w:rPr>
    </w:lvl>
  </w:abstractNum>
  <w:abstractNum w:abstractNumId="3">
    <w:nsid w:val="CE679182"/>
    <w:multiLevelType w:val="singleLevel"/>
    <w:tmpl w:val="CE679182"/>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AC67A39"/>
    <w:multiLevelType w:val="multilevel"/>
    <w:tmpl w:val="3AC67A39"/>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Arial" w:hAnsi="Arial"/>
      </w:rPr>
    </w:lvl>
    <w:lvl w:ilvl="2" w:tentative="0">
      <w:start w:val="1"/>
      <w:numFmt w:val="bullet"/>
      <w:lvlText w:val="‒"/>
      <w:lvlJc w:val="left"/>
      <w:pPr>
        <w:ind w:left="1600" w:hanging="400"/>
      </w:pPr>
      <w:rPr>
        <w:rFonts w:hint="default" w:ascii="Calibri" w:hAnsi="Calibri"/>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40DE34BC"/>
    <w:multiLevelType w:val="singleLevel"/>
    <w:tmpl w:val="40DE34BC"/>
    <w:lvl w:ilvl="0" w:tentative="0">
      <w:start w:val="1"/>
      <w:numFmt w:val="decimal"/>
      <w:pStyle w:val="38"/>
      <w:lvlText w:val="%1."/>
      <w:lvlJc w:val="left"/>
      <w:pPr>
        <w:tabs>
          <w:tab w:val="left" w:pos="360"/>
        </w:tabs>
        <w:ind w:left="360" w:hanging="360"/>
      </w:pPr>
    </w:lvl>
  </w:abstractNum>
  <w:abstractNum w:abstractNumId="7">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7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6815BE2"/>
    <w:multiLevelType w:val="multilevel"/>
    <w:tmpl w:val="56815BE2"/>
    <w:lvl w:ilvl="0" w:tentative="0">
      <w:start w:val="1"/>
      <w:numFmt w:val="decimal"/>
      <w:pStyle w:val="37"/>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0146DC0"/>
    <w:multiLevelType w:val="multilevel"/>
    <w:tmpl w:val="70146DC0"/>
    <w:lvl w:ilvl="0" w:tentative="0">
      <w:start w:val="1"/>
      <w:numFmt w:val="bullet"/>
      <w:pStyle w:val="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36D6E2A"/>
    <w:multiLevelType w:val="multilevel"/>
    <w:tmpl w:val="736D6E2A"/>
    <w:lvl w:ilvl="0" w:tentative="0">
      <w:start w:val="1"/>
      <w:numFmt w:val="decimal"/>
      <w:pStyle w:val="1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3"/>
  </w:num>
  <w:num w:numId="2">
    <w:abstractNumId w:val="12"/>
  </w:num>
  <w:num w:numId="3">
    <w:abstractNumId w:val="9"/>
  </w:num>
  <w:num w:numId="4">
    <w:abstractNumId w:val="6"/>
  </w:num>
  <w:num w:numId="5">
    <w:abstractNumId w:val="7"/>
  </w:num>
  <w:num w:numId="6">
    <w:abstractNumId w:val="8"/>
  </w:num>
  <w:num w:numId="7">
    <w:abstractNumId w:val="4"/>
  </w:num>
  <w:num w:numId="8">
    <w:abstractNumId w:val="11"/>
  </w:num>
  <w:num w:numId="9">
    <w:abstractNumId w:val="10"/>
  </w:num>
  <w:num w:numId="10">
    <w:abstractNumId w:val="5"/>
  </w:num>
  <w:num w:numId="11">
    <w:abstractNumId w:val="1"/>
  </w:num>
  <w:num w:numId="12">
    <w:abstractNumId w:val="3"/>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267"/>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5CB"/>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35D"/>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12EF"/>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125"/>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6D1B"/>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832"/>
    <w:rsid w:val="002E4D1F"/>
    <w:rsid w:val="002E508A"/>
    <w:rsid w:val="002E56EC"/>
    <w:rsid w:val="002E5874"/>
    <w:rsid w:val="002E5A80"/>
    <w:rsid w:val="002E5DDA"/>
    <w:rsid w:val="002E5DE9"/>
    <w:rsid w:val="002E6F39"/>
    <w:rsid w:val="002E7578"/>
    <w:rsid w:val="002E76E2"/>
    <w:rsid w:val="002E78FC"/>
    <w:rsid w:val="002E79C0"/>
    <w:rsid w:val="002F052A"/>
    <w:rsid w:val="002F13B7"/>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73"/>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544"/>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5EDB"/>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8E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C7F69"/>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02A"/>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1F1F"/>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56CA"/>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50E"/>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4B"/>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57D3"/>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455F"/>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1F7C"/>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7E6A"/>
    <w:rsid w:val="009C000B"/>
    <w:rsid w:val="009C0097"/>
    <w:rsid w:val="009C0C35"/>
    <w:rsid w:val="009C1262"/>
    <w:rsid w:val="009C1B7D"/>
    <w:rsid w:val="009C2060"/>
    <w:rsid w:val="009C32C7"/>
    <w:rsid w:val="009C3B5D"/>
    <w:rsid w:val="009C458C"/>
    <w:rsid w:val="009C458E"/>
    <w:rsid w:val="009C4A36"/>
    <w:rsid w:val="009C4AC2"/>
    <w:rsid w:val="009C4D2D"/>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089"/>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19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A3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53BB"/>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0BB"/>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739"/>
    <w:rsid w:val="00B96935"/>
    <w:rsid w:val="00B96AC8"/>
    <w:rsid w:val="00B96AF1"/>
    <w:rsid w:val="00B97164"/>
    <w:rsid w:val="00B97FB7"/>
    <w:rsid w:val="00BA10EB"/>
    <w:rsid w:val="00BA16E0"/>
    <w:rsid w:val="00BA297B"/>
    <w:rsid w:val="00BA313F"/>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78D"/>
    <w:rsid w:val="00BF7B4F"/>
    <w:rsid w:val="00BF7CA4"/>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AA5"/>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124"/>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5A54"/>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3DCA"/>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0CF"/>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179"/>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08"/>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4E3"/>
    <w:rsid w:val="00F34626"/>
    <w:rsid w:val="00F34D2A"/>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641"/>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E40"/>
    <w:rsid w:val="00F71865"/>
    <w:rsid w:val="00F71D8E"/>
    <w:rsid w:val="00F72203"/>
    <w:rsid w:val="00F7240B"/>
    <w:rsid w:val="00F728C0"/>
    <w:rsid w:val="00F72C62"/>
    <w:rsid w:val="00F72DCF"/>
    <w:rsid w:val="00F73588"/>
    <w:rsid w:val="00F73619"/>
    <w:rsid w:val="00F749EC"/>
    <w:rsid w:val="00F77167"/>
    <w:rsid w:val="00F80204"/>
    <w:rsid w:val="00F80723"/>
    <w:rsid w:val="00F81119"/>
    <w:rsid w:val="00F812BF"/>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051920"/>
    <w:rsid w:val="01086F03"/>
    <w:rsid w:val="012707C4"/>
    <w:rsid w:val="01694E67"/>
    <w:rsid w:val="016E776A"/>
    <w:rsid w:val="01864057"/>
    <w:rsid w:val="01B077EB"/>
    <w:rsid w:val="01B20C8F"/>
    <w:rsid w:val="01D50125"/>
    <w:rsid w:val="01E942D6"/>
    <w:rsid w:val="02191811"/>
    <w:rsid w:val="021C6CAF"/>
    <w:rsid w:val="024804CB"/>
    <w:rsid w:val="025D3E02"/>
    <w:rsid w:val="026074FF"/>
    <w:rsid w:val="02851CA9"/>
    <w:rsid w:val="029A5FC8"/>
    <w:rsid w:val="029E3CCF"/>
    <w:rsid w:val="029E6EF8"/>
    <w:rsid w:val="02A56315"/>
    <w:rsid w:val="02AF017E"/>
    <w:rsid w:val="02B47648"/>
    <w:rsid w:val="02CD5BCF"/>
    <w:rsid w:val="02CE0C36"/>
    <w:rsid w:val="02DB7F8D"/>
    <w:rsid w:val="02FD3533"/>
    <w:rsid w:val="02FF2149"/>
    <w:rsid w:val="031127F8"/>
    <w:rsid w:val="03343D6D"/>
    <w:rsid w:val="03604CD8"/>
    <w:rsid w:val="03826601"/>
    <w:rsid w:val="039D0B09"/>
    <w:rsid w:val="039D5203"/>
    <w:rsid w:val="039D54AB"/>
    <w:rsid w:val="03CB6C29"/>
    <w:rsid w:val="040064DD"/>
    <w:rsid w:val="04115AFE"/>
    <w:rsid w:val="04132743"/>
    <w:rsid w:val="0417656B"/>
    <w:rsid w:val="04467211"/>
    <w:rsid w:val="04524EA1"/>
    <w:rsid w:val="04615CDC"/>
    <w:rsid w:val="04CB54BB"/>
    <w:rsid w:val="04D963A7"/>
    <w:rsid w:val="04F01D41"/>
    <w:rsid w:val="04FF29AD"/>
    <w:rsid w:val="05140020"/>
    <w:rsid w:val="051C4148"/>
    <w:rsid w:val="058303CD"/>
    <w:rsid w:val="058B5252"/>
    <w:rsid w:val="059E21FE"/>
    <w:rsid w:val="05B5412D"/>
    <w:rsid w:val="05D176EA"/>
    <w:rsid w:val="0608551F"/>
    <w:rsid w:val="063D2034"/>
    <w:rsid w:val="066A1AB0"/>
    <w:rsid w:val="06C74B08"/>
    <w:rsid w:val="06CE11CF"/>
    <w:rsid w:val="06EB24BE"/>
    <w:rsid w:val="070C7C48"/>
    <w:rsid w:val="07233BF3"/>
    <w:rsid w:val="0740437C"/>
    <w:rsid w:val="07671E43"/>
    <w:rsid w:val="07BE1646"/>
    <w:rsid w:val="07F97ADF"/>
    <w:rsid w:val="083039AA"/>
    <w:rsid w:val="08314AB9"/>
    <w:rsid w:val="083D3A51"/>
    <w:rsid w:val="084B0358"/>
    <w:rsid w:val="087702C7"/>
    <w:rsid w:val="088C3DB2"/>
    <w:rsid w:val="08A40A1D"/>
    <w:rsid w:val="08A76877"/>
    <w:rsid w:val="08AB2C68"/>
    <w:rsid w:val="091F2FF8"/>
    <w:rsid w:val="09271486"/>
    <w:rsid w:val="095A2FCB"/>
    <w:rsid w:val="097208F9"/>
    <w:rsid w:val="097341E6"/>
    <w:rsid w:val="09912E74"/>
    <w:rsid w:val="09AD7CFD"/>
    <w:rsid w:val="09B76A69"/>
    <w:rsid w:val="09DA716B"/>
    <w:rsid w:val="09DC2A58"/>
    <w:rsid w:val="09DC5CB5"/>
    <w:rsid w:val="09F85A1F"/>
    <w:rsid w:val="0A406870"/>
    <w:rsid w:val="0A4D7A20"/>
    <w:rsid w:val="0A5E0B3B"/>
    <w:rsid w:val="0A795077"/>
    <w:rsid w:val="0A8B6FF8"/>
    <w:rsid w:val="0AC34B44"/>
    <w:rsid w:val="0AEB3DB0"/>
    <w:rsid w:val="0B030A2F"/>
    <w:rsid w:val="0B127285"/>
    <w:rsid w:val="0BDF0EAC"/>
    <w:rsid w:val="0C087082"/>
    <w:rsid w:val="0C264EA1"/>
    <w:rsid w:val="0C31388D"/>
    <w:rsid w:val="0C322014"/>
    <w:rsid w:val="0C444721"/>
    <w:rsid w:val="0C5A23EE"/>
    <w:rsid w:val="0C666EB8"/>
    <w:rsid w:val="0C936122"/>
    <w:rsid w:val="0CD14656"/>
    <w:rsid w:val="0CF667FF"/>
    <w:rsid w:val="0CFA241A"/>
    <w:rsid w:val="0D010C10"/>
    <w:rsid w:val="0D36664C"/>
    <w:rsid w:val="0DAD6CF6"/>
    <w:rsid w:val="0DB57573"/>
    <w:rsid w:val="0DC02C1F"/>
    <w:rsid w:val="0DC26AA8"/>
    <w:rsid w:val="0DCB7CCF"/>
    <w:rsid w:val="0DD106BD"/>
    <w:rsid w:val="0DF64878"/>
    <w:rsid w:val="0E171DCD"/>
    <w:rsid w:val="0E4A5DE0"/>
    <w:rsid w:val="0E7427DE"/>
    <w:rsid w:val="0E8D656A"/>
    <w:rsid w:val="0EAE208A"/>
    <w:rsid w:val="0EB83031"/>
    <w:rsid w:val="0EC87E54"/>
    <w:rsid w:val="0EFA11C9"/>
    <w:rsid w:val="0F686298"/>
    <w:rsid w:val="0F763296"/>
    <w:rsid w:val="0F89701A"/>
    <w:rsid w:val="0FA6603E"/>
    <w:rsid w:val="0FDE1505"/>
    <w:rsid w:val="10047BA6"/>
    <w:rsid w:val="102E4CFA"/>
    <w:rsid w:val="103F5CEF"/>
    <w:rsid w:val="105F699E"/>
    <w:rsid w:val="107A59CC"/>
    <w:rsid w:val="10B119FC"/>
    <w:rsid w:val="10B37C7E"/>
    <w:rsid w:val="10B8180F"/>
    <w:rsid w:val="10BB7427"/>
    <w:rsid w:val="10E016CC"/>
    <w:rsid w:val="10EA2083"/>
    <w:rsid w:val="110226F4"/>
    <w:rsid w:val="11090027"/>
    <w:rsid w:val="113B66D4"/>
    <w:rsid w:val="11404119"/>
    <w:rsid w:val="114C24DA"/>
    <w:rsid w:val="117350E1"/>
    <w:rsid w:val="11E85F3C"/>
    <w:rsid w:val="11F304A4"/>
    <w:rsid w:val="12111FFE"/>
    <w:rsid w:val="12154870"/>
    <w:rsid w:val="12596A0F"/>
    <w:rsid w:val="12610D9B"/>
    <w:rsid w:val="129016BB"/>
    <w:rsid w:val="12C04D21"/>
    <w:rsid w:val="12E60D08"/>
    <w:rsid w:val="12F44959"/>
    <w:rsid w:val="13271014"/>
    <w:rsid w:val="13344A5B"/>
    <w:rsid w:val="135C471B"/>
    <w:rsid w:val="13724D5C"/>
    <w:rsid w:val="13923675"/>
    <w:rsid w:val="13A40878"/>
    <w:rsid w:val="13D604D8"/>
    <w:rsid w:val="14174C1A"/>
    <w:rsid w:val="141E1608"/>
    <w:rsid w:val="14351C3C"/>
    <w:rsid w:val="14387438"/>
    <w:rsid w:val="145603A5"/>
    <w:rsid w:val="1476350F"/>
    <w:rsid w:val="147715ED"/>
    <w:rsid w:val="14893B9A"/>
    <w:rsid w:val="14A32ACA"/>
    <w:rsid w:val="14EE3FD8"/>
    <w:rsid w:val="152B00A9"/>
    <w:rsid w:val="15465025"/>
    <w:rsid w:val="1549073A"/>
    <w:rsid w:val="154A4594"/>
    <w:rsid w:val="157F27A5"/>
    <w:rsid w:val="15826DF6"/>
    <w:rsid w:val="15AD7DDC"/>
    <w:rsid w:val="15C01F4D"/>
    <w:rsid w:val="15C26791"/>
    <w:rsid w:val="15DD4744"/>
    <w:rsid w:val="15E00666"/>
    <w:rsid w:val="15F91485"/>
    <w:rsid w:val="15FB3C69"/>
    <w:rsid w:val="16040691"/>
    <w:rsid w:val="16411638"/>
    <w:rsid w:val="165E1141"/>
    <w:rsid w:val="16945A55"/>
    <w:rsid w:val="16A100C2"/>
    <w:rsid w:val="16A72FC1"/>
    <w:rsid w:val="16B0136E"/>
    <w:rsid w:val="16B0701E"/>
    <w:rsid w:val="16B84D2C"/>
    <w:rsid w:val="16BB2B71"/>
    <w:rsid w:val="16EC686D"/>
    <w:rsid w:val="16F8773E"/>
    <w:rsid w:val="170863C1"/>
    <w:rsid w:val="170F472C"/>
    <w:rsid w:val="1716198A"/>
    <w:rsid w:val="171936D7"/>
    <w:rsid w:val="1743740C"/>
    <w:rsid w:val="175B5FA3"/>
    <w:rsid w:val="17621B57"/>
    <w:rsid w:val="178E5A72"/>
    <w:rsid w:val="17B87564"/>
    <w:rsid w:val="17D73F50"/>
    <w:rsid w:val="17DD315F"/>
    <w:rsid w:val="1830427B"/>
    <w:rsid w:val="18572F0D"/>
    <w:rsid w:val="185E21BF"/>
    <w:rsid w:val="186160AC"/>
    <w:rsid w:val="186671E9"/>
    <w:rsid w:val="18713AE1"/>
    <w:rsid w:val="18987DCE"/>
    <w:rsid w:val="18CC0DF0"/>
    <w:rsid w:val="1914441F"/>
    <w:rsid w:val="191A216A"/>
    <w:rsid w:val="192619BB"/>
    <w:rsid w:val="19622A45"/>
    <w:rsid w:val="197A73D7"/>
    <w:rsid w:val="1996406E"/>
    <w:rsid w:val="19B61251"/>
    <w:rsid w:val="19E12CD3"/>
    <w:rsid w:val="19F86C73"/>
    <w:rsid w:val="1A01042E"/>
    <w:rsid w:val="1A10774B"/>
    <w:rsid w:val="1A2C5181"/>
    <w:rsid w:val="1A4D123E"/>
    <w:rsid w:val="1A800D8A"/>
    <w:rsid w:val="1A8F295C"/>
    <w:rsid w:val="1A8F3D53"/>
    <w:rsid w:val="1A9E31A8"/>
    <w:rsid w:val="1AC27541"/>
    <w:rsid w:val="1AC27D5E"/>
    <w:rsid w:val="1ACC1744"/>
    <w:rsid w:val="1B206006"/>
    <w:rsid w:val="1B517858"/>
    <w:rsid w:val="1B957C7B"/>
    <w:rsid w:val="1BAF3D0C"/>
    <w:rsid w:val="1BD03ABD"/>
    <w:rsid w:val="1BD850D3"/>
    <w:rsid w:val="1C040BDF"/>
    <w:rsid w:val="1C4B7598"/>
    <w:rsid w:val="1C713615"/>
    <w:rsid w:val="1D202C9C"/>
    <w:rsid w:val="1D3A7352"/>
    <w:rsid w:val="1D551668"/>
    <w:rsid w:val="1D655383"/>
    <w:rsid w:val="1D6E6C89"/>
    <w:rsid w:val="1D785052"/>
    <w:rsid w:val="1DBB356B"/>
    <w:rsid w:val="1DC8140A"/>
    <w:rsid w:val="1DD160EE"/>
    <w:rsid w:val="1DDE5F55"/>
    <w:rsid w:val="1DF81E32"/>
    <w:rsid w:val="1E01142D"/>
    <w:rsid w:val="1E0D4CC9"/>
    <w:rsid w:val="1E4D5C75"/>
    <w:rsid w:val="1E584F0E"/>
    <w:rsid w:val="1E6843B6"/>
    <w:rsid w:val="1E7C1CB9"/>
    <w:rsid w:val="1E80536E"/>
    <w:rsid w:val="1EAE75FB"/>
    <w:rsid w:val="1F45783F"/>
    <w:rsid w:val="1F4B4A7E"/>
    <w:rsid w:val="1F704FD5"/>
    <w:rsid w:val="1F89557D"/>
    <w:rsid w:val="1F9F4112"/>
    <w:rsid w:val="1FA1245C"/>
    <w:rsid w:val="1FA34F71"/>
    <w:rsid w:val="1FA5329A"/>
    <w:rsid w:val="1FEF3E3C"/>
    <w:rsid w:val="20376B72"/>
    <w:rsid w:val="205E3028"/>
    <w:rsid w:val="2091671E"/>
    <w:rsid w:val="20A34F2C"/>
    <w:rsid w:val="20B45BA0"/>
    <w:rsid w:val="20D21A47"/>
    <w:rsid w:val="21025D0F"/>
    <w:rsid w:val="21485BF6"/>
    <w:rsid w:val="21990369"/>
    <w:rsid w:val="21F86AD4"/>
    <w:rsid w:val="22092F48"/>
    <w:rsid w:val="221A1101"/>
    <w:rsid w:val="221B0A44"/>
    <w:rsid w:val="221C6BE4"/>
    <w:rsid w:val="226344AF"/>
    <w:rsid w:val="226750DE"/>
    <w:rsid w:val="22703EFD"/>
    <w:rsid w:val="22896D61"/>
    <w:rsid w:val="22CC2E2C"/>
    <w:rsid w:val="22D06622"/>
    <w:rsid w:val="2335031A"/>
    <w:rsid w:val="236972D7"/>
    <w:rsid w:val="237D24C4"/>
    <w:rsid w:val="2391308D"/>
    <w:rsid w:val="2483302D"/>
    <w:rsid w:val="24925990"/>
    <w:rsid w:val="24BC54B8"/>
    <w:rsid w:val="24D469CD"/>
    <w:rsid w:val="251872D3"/>
    <w:rsid w:val="25283914"/>
    <w:rsid w:val="252A0512"/>
    <w:rsid w:val="252B111F"/>
    <w:rsid w:val="255D595B"/>
    <w:rsid w:val="257A7FFE"/>
    <w:rsid w:val="258B6CB7"/>
    <w:rsid w:val="258F170F"/>
    <w:rsid w:val="25932CFA"/>
    <w:rsid w:val="259F2D07"/>
    <w:rsid w:val="25A916DC"/>
    <w:rsid w:val="25C159C7"/>
    <w:rsid w:val="25C64107"/>
    <w:rsid w:val="25DF2FC8"/>
    <w:rsid w:val="26214CF4"/>
    <w:rsid w:val="26622977"/>
    <w:rsid w:val="266A6C26"/>
    <w:rsid w:val="26A173E5"/>
    <w:rsid w:val="26A52A38"/>
    <w:rsid w:val="26D03DCC"/>
    <w:rsid w:val="270820F8"/>
    <w:rsid w:val="27111FEB"/>
    <w:rsid w:val="272921C3"/>
    <w:rsid w:val="27296A3B"/>
    <w:rsid w:val="273B04BF"/>
    <w:rsid w:val="274952DA"/>
    <w:rsid w:val="276B6839"/>
    <w:rsid w:val="279643AF"/>
    <w:rsid w:val="27FD4637"/>
    <w:rsid w:val="280C4946"/>
    <w:rsid w:val="287F03F2"/>
    <w:rsid w:val="28BA5934"/>
    <w:rsid w:val="28BD0055"/>
    <w:rsid w:val="28DE4E8F"/>
    <w:rsid w:val="28FA02DA"/>
    <w:rsid w:val="290740DB"/>
    <w:rsid w:val="292A2A11"/>
    <w:rsid w:val="29316A3B"/>
    <w:rsid w:val="29444D25"/>
    <w:rsid w:val="296D77CC"/>
    <w:rsid w:val="297135B9"/>
    <w:rsid w:val="2977111F"/>
    <w:rsid w:val="297A2089"/>
    <w:rsid w:val="298F2033"/>
    <w:rsid w:val="29C10C2A"/>
    <w:rsid w:val="29C22469"/>
    <w:rsid w:val="29E4249D"/>
    <w:rsid w:val="29EC5134"/>
    <w:rsid w:val="29F541C7"/>
    <w:rsid w:val="2A111265"/>
    <w:rsid w:val="2A410858"/>
    <w:rsid w:val="2A606AD8"/>
    <w:rsid w:val="2ACE1B7D"/>
    <w:rsid w:val="2ADA467F"/>
    <w:rsid w:val="2AF239B6"/>
    <w:rsid w:val="2B15226F"/>
    <w:rsid w:val="2B217F13"/>
    <w:rsid w:val="2B3E0F37"/>
    <w:rsid w:val="2B544FAC"/>
    <w:rsid w:val="2BA41EE0"/>
    <w:rsid w:val="2BAF29AF"/>
    <w:rsid w:val="2BB322FA"/>
    <w:rsid w:val="2BBA785B"/>
    <w:rsid w:val="2BE97744"/>
    <w:rsid w:val="2BEE3319"/>
    <w:rsid w:val="2C062DDA"/>
    <w:rsid w:val="2C5B522D"/>
    <w:rsid w:val="2CA704DF"/>
    <w:rsid w:val="2CAE23AD"/>
    <w:rsid w:val="2CB3568E"/>
    <w:rsid w:val="2CD402B0"/>
    <w:rsid w:val="2CD759E4"/>
    <w:rsid w:val="2CEE1A70"/>
    <w:rsid w:val="2D0C0ED9"/>
    <w:rsid w:val="2D493022"/>
    <w:rsid w:val="2D793852"/>
    <w:rsid w:val="2D9337BC"/>
    <w:rsid w:val="2D9A75E1"/>
    <w:rsid w:val="2DAC396A"/>
    <w:rsid w:val="2DAF22CC"/>
    <w:rsid w:val="2DDE2321"/>
    <w:rsid w:val="2DFB60F8"/>
    <w:rsid w:val="2E0C3F8D"/>
    <w:rsid w:val="2E1E3154"/>
    <w:rsid w:val="2E4777DC"/>
    <w:rsid w:val="2E7543E0"/>
    <w:rsid w:val="2E84599F"/>
    <w:rsid w:val="2EB36C4E"/>
    <w:rsid w:val="2EBA0CEE"/>
    <w:rsid w:val="2EDD512D"/>
    <w:rsid w:val="2EF813CE"/>
    <w:rsid w:val="2F002F61"/>
    <w:rsid w:val="2F2C6EB6"/>
    <w:rsid w:val="2F6C2A84"/>
    <w:rsid w:val="2F8D7B44"/>
    <w:rsid w:val="2FC91174"/>
    <w:rsid w:val="303E1DC3"/>
    <w:rsid w:val="30620B62"/>
    <w:rsid w:val="3083312B"/>
    <w:rsid w:val="30AA391F"/>
    <w:rsid w:val="30CF6266"/>
    <w:rsid w:val="30EC3A6B"/>
    <w:rsid w:val="30EE3B50"/>
    <w:rsid w:val="31080E78"/>
    <w:rsid w:val="310944F4"/>
    <w:rsid w:val="314538CF"/>
    <w:rsid w:val="31662500"/>
    <w:rsid w:val="317C24A6"/>
    <w:rsid w:val="317F3E4E"/>
    <w:rsid w:val="31864DF2"/>
    <w:rsid w:val="31C41749"/>
    <w:rsid w:val="31CE280C"/>
    <w:rsid w:val="31E6723E"/>
    <w:rsid w:val="31F13500"/>
    <w:rsid w:val="31F169BB"/>
    <w:rsid w:val="32110F92"/>
    <w:rsid w:val="32123F45"/>
    <w:rsid w:val="32AE3212"/>
    <w:rsid w:val="32BB5F6A"/>
    <w:rsid w:val="32FA3A2E"/>
    <w:rsid w:val="330E0ACF"/>
    <w:rsid w:val="33126245"/>
    <w:rsid w:val="3318284C"/>
    <w:rsid w:val="33252242"/>
    <w:rsid w:val="332F4380"/>
    <w:rsid w:val="33320E86"/>
    <w:rsid w:val="33A00964"/>
    <w:rsid w:val="33A2103B"/>
    <w:rsid w:val="33AD71AB"/>
    <w:rsid w:val="33B37FF7"/>
    <w:rsid w:val="33C70149"/>
    <w:rsid w:val="33F74F6B"/>
    <w:rsid w:val="341532D2"/>
    <w:rsid w:val="342004AC"/>
    <w:rsid w:val="3435354C"/>
    <w:rsid w:val="34374109"/>
    <w:rsid w:val="343F2E96"/>
    <w:rsid w:val="34595A71"/>
    <w:rsid w:val="34621C19"/>
    <w:rsid w:val="3488416C"/>
    <w:rsid w:val="348D7254"/>
    <w:rsid w:val="34A12E71"/>
    <w:rsid w:val="34B857DE"/>
    <w:rsid w:val="34C4421E"/>
    <w:rsid w:val="34C91642"/>
    <w:rsid w:val="34D175CD"/>
    <w:rsid w:val="3500021F"/>
    <w:rsid w:val="352E0114"/>
    <w:rsid w:val="356E233F"/>
    <w:rsid w:val="35745EBC"/>
    <w:rsid w:val="35D02C21"/>
    <w:rsid w:val="35EF0D51"/>
    <w:rsid w:val="36291376"/>
    <w:rsid w:val="364B711C"/>
    <w:rsid w:val="366079A2"/>
    <w:rsid w:val="36A466CD"/>
    <w:rsid w:val="36A55528"/>
    <w:rsid w:val="36C46C45"/>
    <w:rsid w:val="36CD1AD4"/>
    <w:rsid w:val="36E85B5C"/>
    <w:rsid w:val="36FC7AD5"/>
    <w:rsid w:val="37275666"/>
    <w:rsid w:val="37366F40"/>
    <w:rsid w:val="373B526B"/>
    <w:rsid w:val="373C43B6"/>
    <w:rsid w:val="37503053"/>
    <w:rsid w:val="375E1B0F"/>
    <w:rsid w:val="3761394E"/>
    <w:rsid w:val="379F6988"/>
    <w:rsid w:val="37AB4E6E"/>
    <w:rsid w:val="37EB1111"/>
    <w:rsid w:val="3807587E"/>
    <w:rsid w:val="380E7FED"/>
    <w:rsid w:val="38283C7B"/>
    <w:rsid w:val="383C5403"/>
    <w:rsid w:val="38434D00"/>
    <w:rsid w:val="386A760A"/>
    <w:rsid w:val="38766BF9"/>
    <w:rsid w:val="38767407"/>
    <w:rsid w:val="38994C37"/>
    <w:rsid w:val="38A55121"/>
    <w:rsid w:val="38D50F2F"/>
    <w:rsid w:val="391009D1"/>
    <w:rsid w:val="39356DEE"/>
    <w:rsid w:val="396501C5"/>
    <w:rsid w:val="396613FE"/>
    <w:rsid w:val="39B425F7"/>
    <w:rsid w:val="39B81321"/>
    <w:rsid w:val="39D7698E"/>
    <w:rsid w:val="39DB64A5"/>
    <w:rsid w:val="39DD616A"/>
    <w:rsid w:val="39E258FA"/>
    <w:rsid w:val="39E63050"/>
    <w:rsid w:val="3A754AF9"/>
    <w:rsid w:val="3A8A57F5"/>
    <w:rsid w:val="3A9E6B0C"/>
    <w:rsid w:val="3AA0046C"/>
    <w:rsid w:val="3AA00C92"/>
    <w:rsid w:val="3AC14746"/>
    <w:rsid w:val="3AFB35F9"/>
    <w:rsid w:val="3B1C367D"/>
    <w:rsid w:val="3B1E55CE"/>
    <w:rsid w:val="3B686FBF"/>
    <w:rsid w:val="3B89656C"/>
    <w:rsid w:val="3BC02C6D"/>
    <w:rsid w:val="3BC41F89"/>
    <w:rsid w:val="3BD61C1B"/>
    <w:rsid w:val="3C12388A"/>
    <w:rsid w:val="3C2865B8"/>
    <w:rsid w:val="3C787B52"/>
    <w:rsid w:val="3C8833F7"/>
    <w:rsid w:val="3C8A3D0F"/>
    <w:rsid w:val="3C904806"/>
    <w:rsid w:val="3CBC2682"/>
    <w:rsid w:val="3CE54296"/>
    <w:rsid w:val="3CF15E7E"/>
    <w:rsid w:val="3CF66910"/>
    <w:rsid w:val="3D467C23"/>
    <w:rsid w:val="3D4B3020"/>
    <w:rsid w:val="3D633B76"/>
    <w:rsid w:val="3D635494"/>
    <w:rsid w:val="3D9333DE"/>
    <w:rsid w:val="3DB862F0"/>
    <w:rsid w:val="3DCA3110"/>
    <w:rsid w:val="3DCB34A9"/>
    <w:rsid w:val="3E2A396F"/>
    <w:rsid w:val="3E3E27CF"/>
    <w:rsid w:val="3E4921D6"/>
    <w:rsid w:val="3E493773"/>
    <w:rsid w:val="3E5E21C8"/>
    <w:rsid w:val="3E777362"/>
    <w:rsid w:val="3E975981"/>
    <w:rsid w:val="3EBE5715"/>
    <w:rsid w:val="3EC04219"/>
    <w:rsid w:val="3EC66A2E"/>
    <w:rsid w:val="3ECF17E3"/>
    <w:rsid w:val="3EF13917"/>
    <w:rsid w:val="3F174F56"/>
    <w:rsid w:val="3F1847A6"/>
    <w:rsid w:val="3F1864C7"/>
    <w:rsid w:val="3F186AC4"/>
    <w:rsid w:val="3F26214B"/>
    <w:rsid w:val="3F266F7E"/>
    <w:rsid w:val="3F3D5E9A"/>
    <w:rsid w:val="3F416741"/>
    <w:rsid w:val="3F572BBD"/>
    <w:rsid w:val="3F6A0042"/>
    <w:rsid w:val="3F8144BB"/>
    <w:rsid w:val="3FE576CA"/>
    <w:rsid w:val="3FE756A5"/>
    <w:rsid w:val="3FEE037D"/>
    <w:rsid w:val="402F155C"/>
    <w:rsid w:val="4035702A"/>
    <w:rsid w:val="40365970"/>
    <w:rsid w:val="40553046"/>
    <w:rsid w:val="40594281"/>
    <w:rsid w:val="405E0EF8"/>
    <w:rsid w:val="406623FB"/>
    <w:rsid w:val="406845ED"/>
    <w:rsid w:val="40700CD0"/>
    <w:rsid w:val="40DD426B"/>
    <w:rsid w:val="40E14CD8"/>
    <w:rsid w:val="40FF34A7"/>
    <w:rsid w:val="4100425F"/>
    <w:rsid w:val="410605FE"/>
    <w:rsid w:val="412E3821"/>
    <w:rsid w:val="413A6077"/>
    <w:rsid w:val="41460999"/>
    <w:rsid w:val="414771F7"/>
    <w:rsid w:val="415F1040"/>
    <w:rsid w:val="416A54DF"/>
    <w:rsid w:val="41791A18"/>
    <w:rsid w:val="417C1D9A"/>
    <w:rsid w:val="41B61276"/>
    <w:rsid w:val="41C675CC"/>
    <w:rsid w:val="41D9678F"/>
    <w:rsid w:val="41E45751"/>
    <w:rsid w:val="42152B5B"/>
    <w:rsid w:val="42496F39"/>
    <w:rsid w:val="425C095C"/>
    <w:rsid w:val="42686B85"/>
    <w:rsid w:val="428F1C35"/>
    <w:rsid w:val="42A00A53"/>
    <w:rsid w:val="42CB111C"/>
    <w:rsid w:val="42CC1CD6"/>
    <w:rsid w:val="42D27669"/>
    <w:rsid w:val="43152F6E"/>
    <w:rsid w:val="434A5744"/>
    <w:rsid w:val="43664032"/>
    <w:rsid w:val="437F29E0"/>
    <w:rsid w:val="43B41A1B"/>
    <w:rsid w:val="43B84F77"/>
    <w:rsid w:val="43C10AA6"/>
    <w:rsid w:val="43CA7ABB"/>
    <w:rsid w:val="43EB28B3"/>
    <w:rsid w:val="43ED2711"/>
    <w:rsid w:val="440F4CF7"/>
    <w:rsid w:val="44171ACC"/>
    <w:rsid w:val="442C6151"/>
    <w:rsid w:val="44603DC6"/>
    <w:rsid w:val="44631A17"/>
    <w:rsid w:val="449879C1"/>
    <w:rsid w:val="44AA343D"/>
    <w:rsid w:val="44B219E6"/>
    <w:rsid w:val="44DC110A"/>
    <w:rsid w:val="44EF3D87"/>
    <w:rsid w:val="452B554D"/>
    <w:rsid w:val="455A3046"/>
    <w:rsid w:val="459B4F4A"/>
    <w:rsid w:val="45AD6E61"/>
    <w:rsid w:val="45B55F60"/>
    <w:rsid w:val="45D72514"/>
    <w:rsid w:val="461C63C2"/>
    <w:rsid w:val="46303962"/>
    <w:rsid w:val="463D3DC4"/>
    <w:rsid w:val="463E6CCF"/>
    <w:rsid w:val="464A1591"/>
    <w:rsid w:val="465A1D21"/>
    <w:rsid w:val="465A6632"/>
    <w:rsid w:val="467E45B6"/>
    <w:rsid w:val="46812124"/>
    <w:rsid w:val="46A47021"/>
    <w:rsid w:val="46A57770"/>
    <w:rsid w:val="46BE691A"/>
    <w:rsid w:val="46D5189F"/>
    <w:rsid w:val="46FD6000"/>
    <w:rsid w:val="47290528"/>
    <w:rsid w:val="475148EE"/>
    <w:rsid w:val="47594A32"/>
    <w:rsid w:val="47661269"/>
    <w:rsid w:val="47795E1B"/>
    <w:rsid w:val="47940E59"/>
    <w:rsid w:val="479C181A"/>
    <w:rsid w:val="47AE4ABE"/>
    <w:rsid w:val="47B80F7C"/>
    <w:rsid w:val="47EF6C94"/>
    <w:rsid w:val="47F51258"/>
    <w:rsid w:val="481B2253"/>
    <w:rsid w:val="482D14E3"/>
    <w:rsid w:val="487064FA"/>
    <w:rsid w:val="488837D3"/>
    <w:rsid w:val="48982184"/>
    <w:rsid w:val="489A258D"/>
    <w:rsid w:val="48B97B8E"/>
    <w:rsid w:val="48EE1E81"/>
    <w:rsid w:val="492531D1"/>
    <w:rsid w:val="4943264E"/>
    <w:rsid w:val="49494D31"/>
    <w:rsid w:val="4966119A"/>
    <w:rsid w:val="497679DB"/>
    <w:rsid w:val="497A129D"/>
    <w:rsid w:val="49880803"/>
    <w:rsid w:val="499B06D2"/>
    <w:rsid w:val="499B77E9"/>
    <w:rsid w:val="499E19B3"/>
    <w:rsid w:val="49F8699B"/>
    <w:rsid w:val="49FF5866"/>
    <w:rsid w:val="4A081012"/>
    <w:rsid w:val="4A0A0CDA"/>
    <w:rsid w:val="4A1C72E9"/>
    <w:rsid w:val="4A2462D0"/>
    <w:rsid w:val="4AC05F76"/>
    <w:rsid w:val="4AC31FB1"/>
    <w:rsid w:val="4AD16025"/>
    <w:rsid w:val="4AE0549F"/>
    <w:rsid w:val="4AED7910"/>
    <w:rsid w:val="4B0152BB"/>
    <w:rsid w:val="4B121680"/>
    <w:rsid w:val="4B1F1634"/>
    <w:rsid w:val="4B4415B8"/>
    <w:rsid w:val="4B72166F"/>
    <w:rsid w:val="4B8E4C7C"/>
    <w:rsid w:val="4BB52A49"/>
    <w:rsid w:val="4BBF534D"/>
    <w:rsid w:val="4BC41F45"/>
    <w:rsid w:val="4C385C92"/>
    <w:rsid w:val="4C876772"/>
    <w:rsid w:val="4CE37C89"/>
    <w:rsid w:val="4CF6612F"/>
    <w:rsid w:val="4CF8153C"/>
    <w:rsid w:val="4D0A1EAC"/>
    <w:rsid w:val="4D0F726A"/>
    <w:rsid w:val="4D1D031D"/>
    <w:rsid w:val="4D6B09FE"/>
    <w:rsid w:val="4D963441"/>
    <w:rsid w:val="4DB63E3F"/>
    <w:rsid w:val="4DCE7C4E"/>
    <w:rsid w:val="4DD76C3D"/>
    <w:rsid w:val="4E06686B"/>
    <w:rsid w:val="4E570757"/>
    <w:rsid w:val="4E9055B4"/>
    <w:rsid w:val="4EA562C5"/>
    <w:rsid w:val="4EE00C13"/>
    <w:rsid w:val="4EE9191D"/>
    <w:rsid w:val="4F5044D9"/>
    <w:rsid w:val="4F5A5BB6"/>
    <w:rsid w:val="4F613B91"/>
    <w:rsid w:val="4F7817FD"/>
    <w:rsid w:val="4F8234AA"/>
    <w:rsid w:val="4F827AC7"/>
    <w:rsid w:val="4F922ED4"/>
    <w:rsid w:val="4F9A14F4"/>
    <w:rsid w:val="4FA0631C"/>
    <w:rsid w:val="4FCF1624"/>
    <w:rsid w:val="5012254E"/>
    <w:rsid w:val="501A3A58"/>
    <w:rsid w:val="50260F21"/>
    <w:rsid w:val="50376960"/>
    <w:rsid w:val="503D09F5"/>
    <w:rsid w:val="507B28C3"/>
    <w:rsid w:val="508A0FC4"/>
    <w:rsid w:val="50B510AC"/>
    <w:rsid w:val="50DE4FCB"/>
    <w:rsid w:val="50E13D0C"/>
    <w:rsid w:val="5138606C"/>
    <w:rsid w:val="51757142"/>
    <w:rsid w:val="518B155A"/>
    <w:rsid w:val="51A67A30"/>
    <w:rsid w:val="51FC417C"/>
    <w:rsid w:val="521317D0"/>
    <w:rsid w:val="52456218"/>
    <w:rsid w:val="525865F4"/>
    <w:rsid w:val="525F139D"/>
    <w:rsid w:val="529311CC"/>
    <w:rsid w:val="52C97697"/>
    <w:rsid w:val="52DD29D2"/>
    <w:rsid w:val="52FB6B67"/>
    <w:rsid w:val="53137A6C"/>
    <w:rsid w:val="53437F7E"/>
    <w:rsid w:val="53465EDC"/>
    <w:rsid w:val="537225F4"/>
    <w:rsid w:val="537E7999"/>
    <w:rsid w:val="53E77288"/>
    <w:rsid w:val="54066985"/>
    <w:rsid w:val="54281AE1"/>
    <w:rsid w:val="54356BDE"/>
    <w:rsid w:val="543613D5"/>
    <w:rsid w:val="54427D9E"/>
    <w:rsid w:val="54D37699"/>
    <w:rsid w:val="54DC2168"/>
    <w:rsid w:val="54E76417"/>
    <w:rsid w:val="5546416A"/>
    <w:rsid w:val="55546094"/>
    <w:rsid w:val="55E06669"/>
    <w:rsid w:val="5609445F"/>
    <w:rsid w:val="561E4DCB"/>
    <w:rsid w:val="56371204"/>
    <w:rsid w:val="563F1549"/>
    <w:rsid w:val="56400DEF"/>
    <w:rsid w:val="565D4D19"/>
    <w:rsid w:val="566F220D"/>
    <w:rsid w:val="569413DA"/>
    <w:rsid w:val="569A5907"/>
    <w:rsid w:val="56A12C75"/>
    <w:rsid w:val="56F31AFC"/>
    <w:rsid w:val="57147E46"/>
    <w:rsid w:val="574F574C"/>
    <w:rsid w:val="57530013"/>
    <w:rsid w:val="577B5D14"/>
    <w:rsid w:val="578801C9"/>
    <w:rsid w:val="57A23CAA"/>
    <w:rsid w:val="58146430"/>
    <w:rsid w:val="5842073A"/>
    <w:rsid w:val="584F42A3"/>
    <w:rsid w:val="5855244C"/>
    <w:rsid w:val="5858593C"/>
    <w:rsid w:val="586B55CC"/>
    <w:rsid w:val="58717A35"/>
    <w:rsid w:val="58D00F5C"/>
    <w:rsid w:val="58E37B41"/>
    <w:rsid w:val="58E57997"/>
    <w:rsid w:val="590D75C3"/>
    <w:rsid w:val="591C3970"/>
    <w:rsid w:val="59540905"/>
    <w:rsid w:val="595772B0"/>
    <w:rsid w:val="595A6F81"/>
    <w:rsid w:val="597726B0"/>
    <w:rsid w:val="599E6993"/>
    <w:rsid w:val="59CB2CB5"/>
    <w:rsid w:val="59D967C1"/>
    <w:rsid w:val="5A0B7913"/>
    <w:rsid w:val="5A112CFD"/>
    <w:rsid w:val="5A2572F3"/>
    <w:rsid w:val="5A424B47"/>
    <w:rsid w:val="5A466F6B"/>
    <w:rsid w:val="5A471F20"/>
    <w:rsid w:val="5A7D304D"/>
    <w:rsid w:val="5A9B6CEF"/>
    <w:rsid w:val="5AA531A6"/>
    <w:rsid w:val="5B0D17AB"/>
    <w:rsid w:val="5B0E4CBA"/>
    <w:rsid w:val="5B1150E8"/>
    <w:rsid w:val="5B231303"/>
    <w:rsid w:val="5B4B33F6"/>
    <w:rsid w:val="5B4C56C6"/>
    <w:rsid w:val="5B557B08"/>
    <w:rsid w:val="5B623BAC"/>
    <w:rsid w:val="5B7E772A"/>
    <w:rsid w:val="5B8913D2"/>
    <w:rsid w:val="5B8A4495"/>
    <w:rsid w:val="5BB90BCC"/>
    <w:rsid w:val="5BE479D1"/>
    <w:rsid w:val="5BE50133"/>
    <w:rsid w:val="5C1F54A6"/>
    <w:rsid w:val="5C2B429A"/>
    <w:rsid w:val="5C4A291E"/>
    <w:rsid w:val="5C7A347B"/>
    <w:rsid w:val="5C89183F"/>
    <w:rsid w:val="5C8B5482"/>
    <w:rsid w:val="5C942BA0"/>
    <w:rsid w:val="5CA3433B"/>
    <w:rsid w:val="5CB27AE5"/>
    <w:rsid w:val="5CB85164"/>
    <w:rsid w:val="5CD60912"/>
    <w:rsid w:val="5CEA3A68"/>
    <w:rsid w:val="5CF90D11"/>
    <w:rsid w:val="5CFF284E"/>
    <w:rsid w:val="5D185EDF"/>
    <w:rsid w:val="5D96695C"/>
    <w:rsid w:val="5E067D7F"/>
    <w:rsid w:val="5E1E5BF1"/>
    <w:rsid w:val="5E373492"/>
    <w:rsid w:val="5E5D6633"/>
    <w:rsid w:val="5E72754A"/>
    <w:rsid w:val="5E962798"/>
    <w:rsid w:val="5EA4619E"/>
    <w:rsid w:val="5EBC1EC5"/>
    <w:rsid w:val="5EE0706B"/>
    <w:rsid w:val="5EE94673"/>
    <w:rsid w:val="5EEE1D7C"/>
    <w:rsid w:val="5EF87A45"/>
    <w:rsid w:val="5F1F2E7C"/>
    <w:rsid w:val="5F616541"/>
    <w:rsid w:val="5FA87068"/>
    <w:rsid w:val="5FB90619"/>
    <w:rsid w:val="5FC073EE"/>
    <w:rsid w:val="5FDF0A12"/>
    <w:rsid w:val="60083B6C"/>
    <w:rsid w:val="603B1C3B"/>
    <w:rsid w:val="604058C6"/>
    <w:rsid w:val="6046677A"/>
    <w:rsid w:val="60775455"/>
    <w:rsid w:val="60832C53"/>
    <w:rsid w:val="60956BE0"/>
    <w:rsid w:val="60B33EBA"/>
    <w:rsid w:val="60CE7FFD"/>
    <w:rsid w:val="60EC74A3"/>
    <w:rsid w:val="6150368F"/>
    <w:rsid w:val="61527012"/>
    <w:rsid w:val="61C4531B"/>
    <w:rsid w:val="61CA5668"/>
    <w:rsid w:val="61DC7482"/>
    <w:rsid w:val="61DF3C5C"/>
    <w:rsid w:val="61E23A85"/>
    <w:rsid w:val="62033EB9"/>
    <w:rsid w:val="621824CE"/>
    <w:rsid w:val="623C0919"/>
    <w:rsid w:val="625C0240"/>
    <w:rsid w:val="62BD669C"/>
    <w:rsid w:val="62CD6BE1"/>
    <w:rsid w:val="62D76D94"/>
    <w:rsid w:val="62D81EC7"/>
    <w:rsid w:val="62D978C0"/>
    <w:rsid w:val="62E63518"/>
    <w:rsid w:val="63371D8C"/>
    <w:rsid w:val="635C5254"/>
    <w:rsid w:val="6367239A"/>
    <w:rsid w:val="63932071"/>
    <w:rsid w:val="63997FF5"/>
    <w:rsid w:val="63D26106"/>
    <w:rsid w:val="63E949DE"/>
    <w:rsid w:val="6405403E"/>
    <w:rsid w:val="641B3F3E"/>
    <w:rsid w:val="641E0DC8"/>
    <w:rsid w:val="64384FFB"/>
    <w:rsid w:val="643A12D2"/>
    <w:rsid w:val="6468222E"/>
    <w:rsid w:val="646C4E99"/>
    <w:rsid w:val="646D6259"/>
    <w:rsid w:val="64714A8D"/>
    <w:rsid w:val="64993065"/>
    <w:rsid w:val="64B05017"/>
    <w:rsid w:val="64C25226"/>
    <w:rsid w:val="64C81AAD"/>
    <w:rsid w:val="64F42C23"/>
    <w:rsid w:val="64FD2215"/>
    <w:rsid w:val="650A5677"/>
    <w:rsid w:val="658D13F3"/>
    <w:rsid w:val="659636CD"/>
    <w:rsid w:val="65AE3EE4"/>
    <w:rsid w:val="65AF2B23"/>
    <w:rsid w:val="65B35DC3"/>
    <w:rsid w:val="65E1225D"/>
    <w:rsid w:val="65F41111"/>
    <w:rsid w:val="662B0723"/>
    <w:rsid w:val="66680D01"/>
    <w:rsid w:val="66842B9C"/>
    <w:rsid w:val="66907B17"/>
    <w:rsid w:val="66A749D9"/>
    <w:rsid w:val="66B378A8"/>
    <w:rsid w:val="66BE34E2"/>
    <w:rsid w:val="66D01D46"/>
    <w:rsid w:val="66D15094"/>
    <w:rsid w:val="66E928E1"/>
    <w:rsid w:val="670B2CF6"/>
    <w:rsid w:val="670F271F"/>
    <w:rsid w:val="672E44F2"/>
    <w:rsid w:val="67A957DE"/>
    <w:rsid w:val="67C24FAC"/>
    <w:rsid w:val="67CD71AC"/>
    <w:rsid w:val="67EC62D4"/>
    <w:rsid w:val="68225A48"/>
    <w:rsid w:val="682F7403"/>
    <w:rsid w:val="684D1180"/>
    <w:rsid w:val="68612470"/>
    <w:rsid w:val="6866707D"/>
    <w:rsid w:val="687346EF"/>
    <w:rsid w:val="68A32BA2"/>
    <w:rsid w:val="68A83CA1"/>
    <w:rsid w:val="68CB50C8"/>
    <w:rsid w:val="68D840D7"/>
    <w:rsid w:val="68F153D6"/>
    <w:rsid w:val="696D5FE5"/>
    <w:rsid w:val="69A92E85"/>
    <w:rsid w:val="69CD75DE"/>
    <w:rsid w:val="69F61001"/>
    <w:rsid w:val="6A2A4B21"/>
    <w:rsid w:val="6A480794"/>
    <w:rsid w:val="6A48553B"/>
    <w:rsid w:val="6A7D71F7"/>
    <w:rsid w:val="6A867899"/>
    <w:rsid w:val="6AB35818"/>
    <w:rsid w:val="6ADE3A55"/>
    <w:rsid w:val="6B314ABE"/>
    <w:rsid w:val="6B622CD3"/>
    <w:rsid w:val="6B982498"/>
    <w:rsid w:val="6BA46E00"/>
    <w:rsid w:val="6BB901D4"/>
    <w:rsid w:val="6BDA5AA3"/>
    <w:rsid w:val="6BE36442"/>
    <w:rsid w:val="6BED4ACE"/>
    <w:rsid w:val="6BF923A9"/>
    <w:rsid w:val="6BFD2F84"/>
    <w:rsid w:val="6C367882"/>
    <w:rsid w:val="6C5D0AD6"/>
    <w:rsid w:val="6C660FFE"/>
    <w:rsid w:val="6C7535BA"/>
    <w:rsid w:val="6C815727"/>
    <w:rsid w:val="6C9738AA"/>
    <w:rsid w:val="6CAE06A0"/>
    <w:rsid w:val="6CAF52EA"/>
    <w:rsid w:val="6CB230DA"/>
    <w:rsid w:val="6CC233CE"/>
    <w:rsid w:val="6CCA7636"/>
    <w:rsid w:val="6D085EFF"/>
    <w:rsid w:val="6D647EE5"/>
    <w:rsid w:val="6D6A2DB9"/>
    <w:rsid w:val="6D9B535D"/>
    <w:rsid w:val="6DA85003"/>
    <w:rsid w:val="6DC919A0"/>
    <w:rsid w:val="6DCC5B05"/>
    <w:rsid w:val="6DDA3377"/>
    <w:rsid w:val="6E0608BB"/>
    <w:rsid w:val="6E314A45"/>
    <w:rsid w:val="6E3F54ED"/>
    <w:rsid w:val="6E782E2F"/>
    <w:rsid w:val="6E79002B"/>
    <w:rsid w:val="6EC50DCB"/>
    <w:rsid w:val="6EDB2C3B"/>
    <w:rsid w:val="6F0347BE"/>
    <w:rsid w:val="6F0D37B1"/>
    <w:rsid w:val="6F0F7186"/>
    <w:rsid w:val="6F1F7D4C"/>
    <w:rsid w:val="6F236EE9"/>
    <w:rsid w:val="6F5A135D"/>
    <w:rsid w:val="6F75318D"/>
    <w:rsid w:val="6F9D4D49"/>
    <w:rsid w:val="6F9E0E74"/>
    <w:rsid w:val="6FA70D17"/>
    <w:rsid w:val="6FBB0458"/>
    <w:rsid w:val="6FDD462A"/>
    <w:rsid w:val="6FEC755C"/>
    <w:rsid w:val="6FED07ED"/>
    <w:rsid w:val="6FF776BE"/>
    <w:rsid w:val="700B4B55"/>
    <w:rsid w:val="70271A5F"/>
    <w:rsid w:val="70281646"/>
    <w:rsid w:val="703406F3"/>
    <w:rsid w:val="70425145"/>
    <w:rsid w:val="704F01D6"/>
    <w:rsid w:val="70D00287"/>
    <w:rsid w:val="70D33D99"/>
    <w:rsid w:val="70F5560A"/>
    <w:rsid w:val="710152CF"/>
    <w:rsid w:val="717F354D"/>
    <w:rsid w:val="718878AB"/>
    <w:rsid w:val="718E7B89"/>
    <w:rsid w:val="71DF7D69"/>
    <w:rsid w:val="71F56D01"/>
    <w:rsid w:val="72086A47"/>
    <w:rsid w:val="721F141F"/>
    <w:rsid w:val="723F0FF0"/>
    <w:rsid w:val="72445114"/>
    <w:rsid w:val="724C29C9"/>
    <w:rsid w:val="725558B4"/>
    <w:rsid w:val="725E6ABC"/>
    <w:rsid w:val="726C367A"/>
    <w:rsid w:val="72884287"/>
    <w:rsid w:val="728A4479"/>
    <w:rsid w:val="72B7653C"/>
    <w:rsid w:val="72C32207"/>
    <w:rsid w:val="72D00846"/>
    <w:rsid w:val="73045A92"/>
    <w:rsid w:val="734209AB"/>
    <w:rsid w:val="73700E4D"/>
    <w:rsid w:val="73830E69"/>
    <w:rsid w:val="73A411A8"/>
    <w:rsid w:val="73BB0DAD"/>
    <w:rsid w:val="73E20A07"/>
    <w:rsid w:val="73EF49F5"/>
    <w:rsid w:val="74006A50"/>
    <w:rsid w:val="74247983"/>
    <w:rsid w:val="7436049F"/>
    <w:rsid w:val="74436E87"/>
    <w:rsid w:val="745368FA"/>
    <w:rsid w:val="745C4675"/>
    <w:rsid w:val="749841DD"/>
    <w:rsid w:val="749B59DB"/>
    <w:rsid w:val="749D2D7D"/>
    <w:rsid w:val="74CA11D1"/>
    <w:rsid w:val="7573031A"/>
    <w:rsid w:val="758E6EDE"/>
    <w:rsid w:val="7591020A"/>
    <w:rsid w:val="759938A5"/>
    <w:rsid w:val="75B73D99"/>
    <w:rsid w:val="75D80552"/>
    <w:rsid w:val="7605381A"/>
    <w:rsid w:val="760A757D"/>
    <w:rsid w:val="763516C6"/>
    <w:rsid w:val="76541F90"/>
    <w:rsid w:val="76777C95"/>
    <w:rsid w:val="7692538B"/>
    <w:rsid w:val="76943359"/>
    <w:rsid w:val="76AD39C4"/>
    <w:rsid w:val="76C54E0E"/>
    <w:rsid w:val="76CE630E"/>
    <w:rsid w:val="76F54B42"/>
    <w:rsid w:val="76F61DEF"/>
    <w:rsid w:val="77027704"/>
    <w:rsid w:val="771F229B"/>
    <w:rsid w:val="774C7B50"/>
    <w:rsid w:val="775E6987"/>
    <w:rsid w:val="777C7019"/>
    <w:rsid w:val="777F0B49"/>
    <w:rsid w:val="77F41193"/>
    <w:rsid w:val="780154E3"/>
    <w:rsid w:val="78174BDD"/>
    <w:rsid w:val="78310C6B"/>
    <w:rsid w:val="783C2E00"/>
    <w:rsid w:val="785A3D91"/>
    <w:rsid w:val="786057E0"/>
    <w:rsid w:val="78B051B0"/>
    <w:rsid w:val="78C96DB1"/>
    <w:rsid w:val="78D13C97"/>
    <w:rsid w:val="78D94344"/>
    <w:rsid w:val="78DF0A0A"/>
    <w:rsid w:val="78ED7063"/>
    <w:rsid w:val="78F6523B"/>
    <w:rsid w:val="790C40FC"/>
    <w:rsid w:val="791F5951"/>
    <w:rsid w:val="79285AF6"/>
    <w:rsid w:val="7933700A"/>
    <w:rsid w:val="79573DDE"/>
    <w:rsid w:val="797610E7"/>
    <w:rsid w:val="797A239D"/>
    <w:rsid w:val="798123CE"/>
    <w:rsid w:val="79FC3043"/>
    <w:rsid w:val="7A102029"/>
    <w:rsid w:val="7A230D68"/>
    <w:rsid w:val="7A3363F8"/>
    <w:rsid w:val="7A587F91"/>
    <w:rsid w:val="7A6150D3"/>
    <w:rsid w:val="7AAA72A9"/>
    <w:rsid w:val="7AC84D81"/>
    <w:rsid w:val="7B0E77A8"/>
    <w:rsid w:val="7B1342C3"/>
    <w:rsid w:val="7B4A157A"/>
    <w:rsid w:val="7BA36CB9"/>
    <w:rsid w:val="7BA7704A"/>
    <w:rsid w:val="7BAD447D"/>
    <w:rsid w:val="7BE71EC1"/>
    <w:rsid w:val="7C0B3660"/>
    <w:rsid w:val="7C181D14"/>
    <w:rsid w:val="7C3702B4"/>
    <w:rsid w:val="7C8D43FE"/>
    <w:rsid w:val="7C9200E7"/>
    <w:rsid w:val="7CB23492"/>
    <w:rsid w:val="7CEE41E5"/>
    <w:rsid w:val="7D05623C"/>
    <w:rsid w:val="7D2739E4"/>
    <w:rsid w:val="7D281714"/>
    <w:rsid w:val="7D8F2B1C"/>
    <w:rsid w:val="7DB26AFF"/>
    <w:rsid w:val="7DDB3D99"/>
    <w:rsid w:val="7E13337F"/>
    <w:rsid w:val="7E1D40B9"/>
    <w:rsid w:val="7E1E124C"/>
    <w:rsid w:val="7E374EDF"/>
    <w:rsid w:val="7E477112"/>
    <w:rsid w:val="7E714D7A"/>
    <w:rsid w:val="7E841D1B"/>
    <w:rsid w:val="7E8D3BD6"/>
    <w:rsid w:val="7EBD6536"/>
    <w:rsid w:val="7EC10216"/>
    <w:rsid w:val="7EE54B83"/>
    <w:rsid w:val="7EED158B"/>
    <w:rsid w:val="7EF62D45"/>
    <w:rsid w:val="7F3F27CA"/>
    <w:rsid w:val="7F52625E"/>
    <w:rsid w:val="7F9B03A1"/>
    <w:rsid w:val="7F9B443E"/>
    <w:rsid w:val="7FBF6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2"/>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5">
    <w:name w:val="Default Paragraph Font"/>
    <w:semiHidden/>
    <w:unhideWhenUsed/>
    <w:qFormat/>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3"/>
    <w:qFormat/>
    <w:uiPriority w:val="0"/>
    <w:pPr>
      <w:spacing w:after="120"/>
      <w:jc w:val="both"/>
    </w:pPr>
    <w:rPr>
      <w:rFonts w:eastAsia="MS Mincho"/>
    </w:rPr>
  </w:style>
  <w:style w:type="paragraph" w:styleId="12">
    <w:name w:val="caption"/>
    <w:basedOn w:val="1"/>
    <w:next w:val="1"/>
    <w:link w:val="29"/>
    <w:qFormat/>
    <w:uiPriority w:val="0"/>
    <w:pPr>
      <w:overflowPunct w:val="0"/>
      <w:autoSpaceDE w:val="0"/>
      <w:autoSpaceDN w:val="0"/>
      <w:adjustRightInd w:val="0"/>
      <w:spacing w:before="120" w:after="120"/>
      <w:textAlignment w:val="baseline"/>
    </w:pPr>
    <w:rPr>
      <w:szCs w:val="20"/>
      <w:lang w:val="en-GB"/>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style>
  <w:style w:type="paragraph" w:styleId="15">
    <w:name w:val="List 2"/>
    <w:basedOn w:val="16"/>
    <w:qFormat/>
    <w:uiPriority w:val="0"/>
    <w:pPr>
      <w:numPr>
        <w:ilvl w:val="0"/>
        <w:numId w:val="2"/>
      </w:numPr>
      <w:spacing w:before="180"/>
    </w:pPr>
    <w:rPr>
      <w:rFonts w:ascii="Arial" w:hAnsi="Arial"/>
      <w:sz w:val="22"/>
      <w:szCs w:val="20"/>
    </w:rPr>
  </w:style>
  <w:style w:type="paragraph" w:styleId="16">
    <w:name w:val="List"/>
    <w:basedOn w:val="1"/>
    <w:qFormat/>
    <w:uiPriority w:val="0"/>
    <w:pPr>
      <w:ind w:left="283" w:hanging="283"/>
    </w:pPr>
  </w:style>
  <w:style w:type="paragraph" w:styleId="17">
    <w:name w:val="toc 8"/>
    <w:basedOn w:val="18"/>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8">
    <w:name w:val="toc 1"/>
    <w:basedOn w:val="1"/>
    <w:next w:val="1"/>
    <w:qFormat/>
    <w:uiPriority w:val="0"/>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snapToGrid w:val="0"/>
    </w:pPr>
    <w:rPr>
      <w:sz w:val="18"/>
      <w:szCs w:val="18"/>
    </w:rPr>
  </w:style>
  <w:style w:type="paragraph" w:styleId="21">
    <w:name w:val="header"/>
    <w:basedOn w:val="1"/>
    <w:link w:val="49"/>
    <w:qFormat/>
    <w:uiPriority w:val="99"/>
    <w:pPr>
      <w:tabs>
        <w:tab w:val="center" w:pos="4536"/>
        <w:tab w:val="right" w:pos="9072"/>
      </w:tabs>
    </w:pPr>
    <w:rPr>
      <w:rFonts w:ascii="Arial" w:hAnsi="Arial" w:eastAsia="MS Mincho"/>
      <w:b/>
    </w:rPr>
  </w:style>
  <w:style w:type="paragraph" w:styleId="22">
    <w:name w:val="annotation subject"/>
    <w:basedOn w:val="14"/>
    <w:next w:val="14"/>
    <w:semiHidden/>
    <w:qFormat/>
    <w:uiPriority w:val="0"/>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6">
    <w:name w:val="FollowedHyperlink"/>
    <w:basedOn w:val="25"/>
    <w:qFormat/>
    <w:uiPriority w:val="0"/>
    <w:rPr>
      <w:color w:val="954F72"/>
      <w:u w:val="single"/>
    </w:rPr>
  </w:style>
  <w:style w:type="character" w:styleId="27">
    <w:name w:val="Hyperlink"/>
    <w:qFormat/>
    <w:uiPriority w:val="99"/>
    <w:rPr>
      <w:color w:val="0000FF"/>
      <w:u w:val="single"/>
    </w:rPr>
  </w:style>
  <w:style w:type="character" w:styleId="28">
    <w:name w:val="annotation reference"/>
    <w:semiHidden/>
    <w:qFormat/>
    <w:uiPriority w:val="0"/>
    <w:rPr>
      <w:sz w:val="21"/>
      <w:szCs w:val="21"/>
    </w:rPr>
  </w:style>
  <w:style w:type="character" w:customStyle="1" w:styleId="29">
    <w:name w:val="题注 字符"/>
    <w:link w:val="12"/>
    <w:qFormat/>
    <w:uiPriority w:val="0"/>
    <w:rPr>
      <w:lang w:val="en-GB" w:eastAsia="en-US" w:bidi="ar-SA"/>
    </w:rPr>
  </w:style>
  <w:style w:type="paragraph" w:customStyle="1" w:styleId="30">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1">
    <w:name w:val="TAL"/>
    <w:basedOn w:val="1"/>
    <w:qFormat/>
    <w:uiPriority w:val="0"/>
    <w:pPr>
      <w:keepNext/>
      <w:keepLines/>
    </w:pPr>
    <w:rPr>
      <w:rFonts w:ascii="Arial" w:hAnsi="Arial"/>
      <w:sz w:val="18"/>
      <w:szCs w:val="20"/>
      <w:lang w:val="en-GB"/>
    </w:rPr>
  </w:style>
  <w:style w:type="paragraph" w:customStyle="1" w:styleId="32">
    <w:name w:val="TAH"/>
    <w:basedOn w:val="1"/>
    <w:qFormat/>
    <w:uiPriority w:val="0"/>
    <w:pPr>
      <w:keepNext/>
      <w:keepLines/>
      <w:jc w:val="center"/>
    </w:pPr>
    <w:rPr>
      <w:rFonts w:ascii="Arial" w:hAnsi="Arial"/>
      <w:b/>
      <w:sz w:val="18"/>
      <w:szCs w:val="20"/>
      <w:lang w:val="en-GB"/>
    </w:rPr>
  </w:style>
  <w:style w:type="paragraph" w:customStyle="1" w:styleId="33">
    <w:name w:val="TH"/>
    <w:basedOn w:val="1"/>
    <w:link w:val="60"/>
    <w:qFormat/>
    <w:uiPriority w:val="0"/>
    <w:pPr>
      <w:keepNext/>
      <w:keepLines/>
      <w:spacing w:before="60" w:after="180"/>
      <w:jc w:val="center"/>
    </w:pPr>
    <w:rPr>
      <w:rFonts w:ascii="Arial" w:hAnsi="Arial"/>
      <w:b/>
      <w:szCs w:val="20"/>
      <w:lang w:val="en-GB"/>
    </w:rPr>
  </w:style>
  <w:style w:type="paragraph" w:customStyle="1" w:styleId="34">
    <w:name w:val="TF"/>
    <w:basedOn w:val="33"/>
    <w:qFormat/>
    <w:uiPriority w:val="0"/>
    <w:pPr>
      <w:keepNext w:val="0"/>
      <w:spacing w:before="0" w:after="240"/>
    </w:pPr>
  </w:style>
  <w:style w:type="paragraph" w:customStyle="1" w:styleId="35">
    <w:name w:val="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6">
    <w:name w:val="Char Char1 Char Char"/>
    <w:basedOn w:val="1"/>
    <w:qFormat/>
    <w:uiPriority w:val="0"/>
    <w:rPr>
      <w:rFonts w:ascii="Times" w:hAnsi="Times"/>
      <w:sz w:val="22"/>
      <w:szCs w:val="20"/>
    </w:rPr>
  </w:style>
  <w:style w:type="paragraph" w:customStyle="1" w:styleId="37">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8">
    <w:name w:val="Tdoc_Heading_1"/>
    <w:basedOn w:val="2"/>
    <w:next w:val="3"/>
    <w:qFormat/>
    <w:uiPriority w:val="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customStyle="1" w:styleId="39">
    <w:name w:val="Motorola Response1 Char Char Char Char Char Char"/>
    <w:next w:val="1"/>
    <w:semiHidden/>
    <w:qFormat/>
    <w:uiPriority w:val="0"/>
    <w:pPr>
      <w:keepNext/>
      <w:tabs>
        <w:tab w:val="left" w:pos="420"/>
      </w:tabs>
      <w:autoSpaceDE w:val="0"/>
      <w:autoSpaceDN w:val="0"/>
      <w:adjustRightInd w:val="0"/>
      <w:spacing w:after="160" w:line="259" w:lineRule="auto"/>
      <w:ind w:left="420" w:hanging="420"/>
      <w:jc w:val="both"/>
    </w:pPr>
    <w:rPr>
      <w:rFonts w:ascii="Times New Roman" w:hAnsi="Times New Roman" w:eastAsia="Times New Roman" w:cs="Times New Roman"/>
      <w:kern w:val="2"/>
      <w:lang w:val="en-GB" w:eastAsia="zh-CN" w:bidi="ar-SA"/>
    </w:rPr>
  </w:style>
  <w:style w:type="paragraph" w:customStyle="1" w:styleId="40">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2">
    <w:name w:val="标题 3 字符"/>
    <w:link w:val="5"/>
    <w:qFormat/>
    <w:uiPriority w:val="0"/>
    <w:rPr>
      <w:rFonts w:ascii="Arial" w:hAnsi="Arial" w:eastAsia="MS Mincho" w:cs="Arial"/>
      <w:b/>
      <w:bCs/>
      <w:sz w:val="26"/>
      <w:szCs w:val="26"/>
      <w:lang w:eastAsia="en-US"/>
    </w:rPr>
  </w:style>
  <w:style w:type="character" w:customStyle="1" w:styleId="43">
    <w:name w:val="正文文本 字符"/>
    <w:link w:val="3"/>
    <w:qFormat/>
    <w:uiPriority w:val="0"/>
    <w:rPr>
      <w:rFonts w:eastAsia="MS Mincho"/>
      <w:szCs w:val="24"/>
      <w:lang w:val="en-US" w:eastAsia="en-US" w:bidi="ar-SA"/>
    </w:rPr>
  </w:style>
  <w:style w:type="paragraph" w:customStyle="1" w:styleId="44">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LGTdoc_본문"/>
    <w:basedOn w:val="1"/>
    <w:link w:val="47"/>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7">
    <w:name w:val="LGTdoc_본문 Char"/>
    <w:link w:val="46"/>
    <w:qFormat/>
    <w:uiPriority w:val="0"/>
    <w:rPr>
      <w:rFonts w:eastAsia="Batang"/>
      <w:kern w:val="2"/>
      <w:sz w:val="22"/>
      <w:szCs w:val="24"/>
      <w:lang w:val="en-GB" w:eastAsia="ko-KR" w:bidi="ar-SA"/>
    </w:rPr>
  </w:style>
  <w:style w:type="paragraph" w:customStyle="1" w:styleId="48">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49">
    <w:name w:val="页眉 字符"/>
    <w:link w:val="21"/>
    <w:qFormat/>
    <w:uiPriority w:val="99"/>
    <w:rPr>
      <w:rFonts w:ascii="Arial" w:hAnsi="Arial" w:eastAsia="MS Mincho"/>
      <w:b/>
      <w:szCs w:val="24"/>
      <w:lang w:val="en-US" w:eastAsia="en-US" w:bidi="ar-SA"/>
    </w:rPr>
  </w:style>
  <w:style w:type="character" w:customStyle="1" w:styleId="50">
    <w:name w:val="bt Char"/>
    <w:qFormat/>
    <w:uiPriority w:val="0"/>
    <w:rPr>
      <w:rFonts w:ascii="Arial" w:hAnsi="Arial" w:eastAsia="MS Mincho" w:cs="Arial"/>
      <w:color w:val="0000FF"/>
      <w:kern w:val="2"/>
      <w:szCs w:val="24"/>
      <w:lang w:val="en-US" w:eastAsia="en-US" w:bidi="ar-SA"/>
    </w:rPr>
  </w:style>
  <w:style w:type="paragraph" w:customStyle="1" w:styleId="51">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2">
    <w:name w:val="apple-converted-space"/>
    <w:basedOn w:val="25"/>
    <w:qFormat/>
    <w:uiPriority w:val="0"/>
  </w:style>
  <w:style w:type="paragraph" w:customStyle="1" w:styleId="53">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4">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5">
    <w:name w:val="List Paragraph"/>
    <w:basedOn w:val="1"/>
    <w:link w:val="65"/>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7">
    <w:name w:val="B1"/>
    <w:basedOn w:val="16"/>
    <w:link w:val="59"/>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8">
    <w:name w:val="B2"/>
    <w:basedOn w:val="1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9">
    <w:name w:val="B1 (文字)"/>
    <w:link w:val="57"/>
    <w:qFormat/>
    <w:uiPriority w:val="0"/>
    <w:rPr>
      <w:rFonts w:eastAsia="Times New Roman"/>
      <w:lang w:val="en-GB" w:eastAsia="en-GB"/>
    </w:rPr>
  </w:style>
  <w:style w:type="character" w:customStyle="1" w:styleId="60">
    <w:name w:val="TH Char"/>
    <w:link w:val="33"/>
    <w:qFormat/>
    <w:uiPriority w:val="0"/>
    <w:rPr>
      <w:rFonts w:ascii="Arial" w:hAnsi="Arial" w:eastAsia="Times New Roman"/>
      <w:b/>
      <w:lang w:val="en-GB" w:eastAsia="en-US"/>
    </w:rPr>
  </w:style>
  <w:style w:type="paragraph" w:customStyle="1" w:styleId="61">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2">
    <w:name w:val="Revision1"/>
    <w:hidden/>
    <w:semiHidden/>
    <w:qFormat/>
    <w:uiPriority w:val="99"/>
    <w:pPr>
      <w:spacing w:after="160" w:line="259" w:lineRule="auto"/>
    </w:pPr>
    <w:rPr>
      <w:rFonts w:ascii="Times New Roman" w:hAnsi="Times New Roman" w:eastAsia="Times New Roman" w:cs="Times New Roman"/>
      <w:szCs w:val="24"/>
      <w:lang w:val="en-US" w:eastAsia="en-US" w:bidi="ar-SA"/>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qFormat/>
    <w:uiPriority w:val="0"/>
    <w:rPr>
      <w:rFonts w:ascii="Arial" w:hAnsi="Arial" w:eastAsia="MS Mincho"/>
      <w:szCs w:val="24"/>
      <w:lang w:val="en-GB" w:eastAsia="en-GB"/>
    </w:rPr>
  </w:style>
  <w:style w:type="character" w:customStyle="1" w:styleId="65">
    <w:name w:val="列表段落 字符"/>
    <w:link w:val="55"/>
    <w:qFormat/>
    <w:locked/>
    <w:uiPriority w:val="34"/>
    <w:rPr>
      <w:rFonts w:ascii="Calibri" w:hAnsi="Calibri"/>
      <w:kern w:val="2"/>
      <w:sz w:val="21"/>
      <w:szCs w:val="22"/>
    </w:rPr>
  </w:style>
  <w:style w:type="paragraph" w:customStyle="1" w:styleId="66">
    <w:name w:val="插图题注"/>
    <w:basedOn w:val="1"/>
    <w:qFormat/>
    <w:uiPriority w:val="0"/>
    <w:pPr>
      <w:spacing w:after="180"/>
    </w:pPr>
    <w:rPr>
      <w:rFonts w:eastAsia="宋体"/>
      <w:szCs w:val="20"/>
      <w:lang w:val="en-GB"/>
    </w:rPr>
  </w:style>
  <w:style w:type="paragraph" w:customStyle="1" w:styleId="67">
    <w:name w:val="表格题注"/>
    <w:basedOn w:val="1"/>
    <w:qFormat/>
    <w:uiPriority w:val="0"/>
    <w:pPr>
      <w:spacing w:after="180"/>
    </w:pPr>
    <w:rPr>
      <w:rFonts w:eastAsia="宋体"/>
      <w:szCs w:val="20"/>
      <w:lang w:val="en-GB"/>
    </w:rPr>
  </w:style>
  <w:style w:type="character" w:customStyle="1" w:styleId="68">
    <w:name w:val="B1 Char"/>
    <w:qFormat/>
    <w:locked/>
    <w:uiPriority w:val="0"/>
    <w:rPr>
      <w:rFonts w:ascii="Arial" w:hAnsi="Arial" w:eastAsia="宋体" w:cs="Times New Roman"/>
      <w:sz w:val="20"/>
      <w:szCs w:val="20"/>
      <w:lang w:val="en-GB"/>
    </w:rPr>
  </w:style>
  <w:style w:type="paragraph" w:customStyle="1" w:styleId="69">
    <w:name w:val="Reference"/>
    <w:basedOn w:val="1"/>
    <w:qFormat/>
    <w:uiPriority w:val="0"/>
    <w:pPr>
      <w:numPr>
        <w:ilvl w:val="0"/>
        <w:numId w:val="5"/>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70">
    <w:name w:val="Doc-title"/>
    <w:basedOn w:val="1"/>
    <w:next w:val="63"/>
    <w:link w:val="71"/>
    <w:qFormat/>
    <w:uiPriority w:val="0"/>
    <w:pPr>
      <w:spacing w:before="60"/>
      <w:ind w:left="1259" w:hanging="1259"/>
    </w:pPr>
    <w:rPr>
      <w:rFonts w:ascii="Arial" w:hAnsi="Arial" w:eastAsia="MS Mincho"/>
      <w:lang w:val="en-GB" w:eastAsia="en-GB"/>
    </w:rPr>
  </w:style>
  <w:style w:type="character" w:customStyle="1" w:styleId="71">
    <w:name w:val="Doc-title Char"/>
    <w:link w:val="70"/>
    <w:qFormat/>
    <w:uiPriority w:val="0"/>
    <w:rPr>
      <w:rFonts w:ascii="Arial" w:hAnsi="Arial" w:eastAsia="MS Mincho"/>
      <w:szCs w:val="24"/>
      <w:lang w:val="en-GB" w:eastAsia="en-GB"/>
    </w:rPr>
  </w:style>
  <w:style w:type="paragraph" w:customStyle="1" w:styleId="72">
    <w:name w:val="Observation"/>
    <w:basedOn w:val="73"/>
    <w:qFormat/>
    <w:uiPriority w:val="0"/>
    <w:pPr>
      <w:numPr>
        <w:ilvl w:val="0"/>
        <w:numId w:val="6"/>
      </w:numPr>
      <w:tabs>
        <w:tab w:val="left" w:pos="1304"/>
        <w:tab w:val="left" w:pos="1701"/>
      </w:tabs>
    </w:pPr>
  </w:style>
  <w:style w:type="paragraph" w:customStyle="1" w:styleId="73">
    <w:name w:val="Proposal"/>
    <w:basedOn w:val="1"/>
    <w:qFormat/>
    <w:uiPriority w:val="0"/>
    <w:pPr>
      <w:numPr>
        <w:ilvl w:val="0"/>
        <w:numId w:val="7"/>
      </w:numPr>
      <w:tabs>
        <w:tab w:val="left" w:pos="1701"/>
      </w:tabs>
    </w:pPr>
    <w:rPr>
      <w:b/>
      <w:bCs/>
    </w:rPr>
  </w:style>
  <w:style w:type="paragraph" w:customStyle="1" w:styleId="74">
    <w:name w:val="Agreement"/>
    <w:basedOn w:val="1"/>
    <w:next w:val="63"/>
    <w:qFormat/>
    <w:uiPriority w:val="0"/>
    <w:pPr>
      <w:numPr>
        <w:ilvl w:val="0"/>
        <w:numId w:val="8"/>
      </w:numPr>
      <w:spacing w:before="60"/>
    </w:pPr>
    <w:rPr>
      <w:b/>
    </w:rPr>
  </w:style>
  <w:style w:type="paragraph" w:customStyle="1" w:styleId="75">
    <w:name w:val="Bold Comments"/>
    <w:basedOn w:val="76"/>
    <w:qFormat/>
    <w:uiPriority w:val="0"/>
    <w:rPr>
      <w:lang w:val="zh-CN" w:eastAsia="zh-CN"/>
    </w:rPr>
  </w:style>
  <w:style w:type="paragraph" w:customStyle="1" w:styleId="76">
    <w:name w:val="SubHeading"/>
    <w:basedOn w:val="1"/>
    <w:next w:val="70"/>
    <w:qFormat/>
    <w:uiPriority w:val="0"/>
    <w:pPr>
      <w:spacing w:before="240" w:after="60"/>
      <w:outlineLvl w:val="8"/>
    </w:pPr>
    <w:rPr>
      <w:b/>
    </w:rPr>
  </w:style>
  <w:style w:type="paragraph" w:customStyle="1" w:styleId="77">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78">
    <w:name w:val="CR Cover Page"/>
    <w:qFormat/>
    <w:uiPriority w:val="0"/>
    <w:pPr>
      <w:spacing w:after="120" w:line="259" w:lineRule="auto"/>
    </w:pPr>
    <w:rPr>
      <w:rFonts w:ascii="Arial" w:hAnsi="Arial" w:eastAsia="宋体" w:cs="Times New Roman"/>
      <w:lang w:val="en-GB" w:eastAsia="en-US" w:bidi="ar-SA"/>
    </w:rPr>
  </w:style>
  <w:style w:type="character" w:customStyle="1" w:styleId="79">
    <w:name w:val="fontstyle01"/>
    <w:qFormat/>
    <w:uiPriority w:val="0"/>
    <w:rPr>
      <w:rFonts w:hint="default" w:ascii="TimesNewRomanPSMT" w:hAnsi="TimesNewRomanPSMT"/>
      <w:color w:val="00000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69E5E-2A8A-4BD3-99FE-CCAE765EFFB1}">
  <ds:schemaRefs/>
</ds:datastoreItem>
</file>

<file path=docProps/app.xml><?xml version="1.0" encoding="utf-8"?>
<Properties xmlns="http://schemas.openxmlformats.org/officeDocument/2006/extended-properties" xmlns:vt="http://schemas.openxmlformats.org/officeDocument/2006/docPropsVTypes">
  <Template>Normal</Template>
  <Company>Vivo</Company>
  <Pages>3</Pages>
  <Words>1155</Words>
  <Characters>6587</Characters>
  <Lines>54</Lines>
  <Paragraphs>15</Paragraphs>
  <TotalTime>5</TotalTime>
  <ScaleCrop>false</ScaleCrop>
  <LinksUpToDate>false</LinksUpToDate>
  <CharactersWithSpaces>7727</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2019-02-15T05:43:00Z</dcterms:created>
  <dc:creator>VIVO</dc:creator>
  <cp:lastModifiedBy>vivo</cp:lastModifiedBy>
  <cp:lastPrinted>2011-08-03T09:36:00Z</cp:lastPrinted>
  <dcterms:modified xsi:type="dcterms:W3CDTF">2019-10-04T04:08:53Z</dcterms:modified>
  <dc:title>3GPP contribution</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